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E141" w14:textId="77777777" w:rsidR="00EF16BC" w:rsidRDefault="006339D8">
      <w:pPr>
        <w:spacing w:before="120" w:after="120"/>
        <w:jc w:val="center"/>
      </w:pPr>
      <w:r>
        <w:rPr>
          <w:noProof/>
        </w:rPr>
        <w:drawing>
          <wp:anchor distT="0" distB="0" distL="114300" distR="114300" simplePos="0" relativeHeight="251658240" behindDoc="0" locked="0" layoutInCell="1" allowOverlap="1" wp14:anchorId="2222F388" wp14:editId="31E57CB4">
            <wp:simplePos x="0" y="0"/>
            <wp:positionH relativeFrom="page">
              <wp:posOffset>0</wp:posOffset>
            </wp:positionH>
            <wp:positionV relativeFrom="page">
              <wp:posOffset>0</wp:posOffset>
            </wp:positionV>
            <wp:extent cx="7772400" cy="1946986"/>
            <wp:effectExtent l="0" t="0" r="0" b="0"/>
            <wp:wrapTopAndBottom/>
            <wp:docPr id="767561046" name="Drawing 0" descr="1eb90dec2-3761-4d7e-be5c-d2c5a04ebc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eb90dec2-3761-4d7e-be5c-d2c5a04ebc4f.png"/>
                    <pic:cNvPicPr>
                      <a:picLocks noChangeAspect="1"/>
                    </pic:cNvPicPr>
                  </pic:nvPicPr>
                  <pic:blipFill>
                    <a:blip r:embed="rId5"/>
                    <a:stretch>
                      <a:fillRect/>
                    </a:stretch>
                  </pic:blipFill>
                  <pic:spPr>
                    <a:xfrm>
                      <a:off x="0" y="0"/>
                      <a:ext cx="7772400" cy="1946986"/>
                    </a:xfrm>
                    <a:prstGeom prst="rect">
                      <a:avLst/>
                    </a:prstGeom>
                  </pic:spPr>
                </pic:pic>
              </a:graphicData>
            </a:graphic>
          </wp:anchor>
        </w:drawing>
      </w:r>
    </w:p>
    <w:p w14:paraId="73116276" w14:textId="77777777" w:rsidR="00EF16BC" w:rsidRDefault="006339D8">
      <w:pPr>
        <w:spacing w:before="120" w:after="120" w:line="336" w:lineRule="auto"/>
      </w:pPr>
      <w:r>
        <w:rPr>
          <w:rFonts w:ascii="DM Sans" w:eastAsia="DM Sans" w:hAnsi="DM Sans" w:cs="DM Sans"/>
          <w:color w:val="404040"/>
        </w:rPr>
        <w:t xml:space="preserve"> </w:t>
      </w:r>
    </w:p>
    <w:tbl>
      <w:tblPr>
        <w:tblW w:w="936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4A0" w:firstRow="1" w:lastRow="0" w:firstColumn="1" w:lastColumn="0" w:noHBand="0" w:noVBand="1"/>
      </w:tblPr>
      <w:tblGrid>
        <w:gridCol w:w="9360"/>
      </w:tblGrid>
      <w:tr w:rsidR="00EF16BC" w14:paraId="13DBF7BB" w14:textId="77777777">
        <w:tc>
          <w:tcPr>
            <w:tcW w:w="9360" w:type="dxa"/>
            <w:shd w:val="clear" w:color="auto" w:fill="F1EFFC"/>
            <w:tcMar>
              <w:top w:w="180" w:type="dxa"/>
              <w:left w:w="180" w:type="dxa"/>
              <w:bottom w:w="180" w:type="dxa"/>
              <w:right w:w="180" w:type="dxa"/>
            </w:tcMar>
          </w:tcPr>
          <w:p w14:paraId="4DC4D995" w14:textId="1A7F68B6" w:rsidR="00EF16BC" w:rsidRDefault="006339D8">
            <w:pPr>
              <w:spacing w:before="120" w:after="120" w:line="335" w:lineRule="auto"/>
            </w:pPr>
            <w:r>
              <w:rPr>
                <w:rFonts w:ascii="Aptos" w:eastAsia="Aptos" w:hAnsi="Aptos" w:cs="Aptos"/>
                <w:color w:val="000000"/>
                <w:sz w:val="28"/>
                <w:szCs w:val="28"/>
              </w:rPr>
              <w:t xml:space="preserve">If you don’t currently track meetings and events in a structured way, trying to measure everything at once can feel overwhelming. </w:t>
            </w:r>
            <w:r w:rsidR="004640CE">
              <w:rPr>
                <w:rFonts w:ascii="Aptos" w:eastAsia="Aptos" w:hAnsi="Aptos" w:cs="Aptos"/>
                <w:color w:val="000000"/>
                <w:sz w:val="28"/>
                <w:szCs w:val="28"/>
              </w:rPr>
              <w:br/>
            </w:r>
            <w:r w:rsidR="004640CE">
              <w:rPr>
                <w:rFonts w:ascii="Aptos" w:eastAsia="Aptos" w:hAnsi="Aptos" w:cs="Aptos"/>
                <w:color w:val="000000"/>
                <w:sz w:val="28"/>
                <w:szCs w:val="28"/>
              </w:rPr>
              <w:br/>
            </w:r>
            <w:r>
              <w:rPr>
                <w:rFonts w:ascii="Aptos" w:eastAsia="Aptos" w:hAnsi="Aptos" w:cs="Aptos"/>
                <w:color w:val="000000"/>
                <w:sz w:val="28"/>
                <w:szCs w:val="28"/>
              </w:rPr>
              <w:t xml:space="preserve">The good news is you don’t need complex systems or perfect data to get started. Tracking a small number of high‑level measures can help you understand what’s happening and where there are opportunities to improve. </w:t>
            </w:r>
          </w:p>
        </w:tc>
      </w:tr>
    </w:tbl>
    <w:p w14:paraId="78BB8929" w14:textId="77777777" w:rsidR="00EF16BC" w:rsidRDefault="006339D8">
      <w:pPr>
        <w:spacing w:before="120" w:after="120" w:line="336" w:lineRule="auto"/>
      </w:pPr>
      <w:r>
        <w:rPr>
          <w:rFonts w:ascii="Aptos Bold" w:eastAsia="Aptos Bold" w:hAnsi="Aptos Bold" w:cs="Aptos Bold"/>
          <w:b/>
          <w:bCs/>
          <w:color w:val="17A697"/>
          <w:sz w:val="32"/>
          <w:szCs w:val="32"/>
        </w:rPr>
        <w:t xml:space="preserve"> </w:t>
      </w:r>
    </w:p>
    <w:p w14:paraId="4D89EDFE" w14:textId="77777777" w:rsidR="00EF16BC" w:rsidRDefault="006339D8">
      <w:pPr>
        <w:spacing w:before="120" w:after="120" w:line="336" w:lineRule="auto"/>
      </w:pPr>
      <w:r>
        <w:rPr>
          <w:rFonts w:ascii="Aptos Bold" w:eastAsia="Aptos Bold" w:hAnsi="Aptos Bold" w:cs="Aptos Bold"/>
          <w:b/>
          <w:bCs/>
          <w:color w:val="17A697"/>
          <w:sz w:val="32"/>
          <w:szCs w:val="32"/>
        </w:rPr>
        <w:t xml:space="preserve">WHAT TO MEASURE FIRST </w:t>
      </w:r>
    </w:p>
    <w:p w14:paraId="3F7C0C1B" w14:textId="77777777" w:rsidR="00EF16BC" w:rsidRDefault="006339D8">
      <w:pPr>
        <w:spacing w:before="120" w:after="120" w:line="336" w:lineRule="auto"/>
      </w:pPr>
      <w:r>
        <w:rPr>
          <w:rFonts w:ascii="Aptos Bold" w:eastAsia="Aptos Bold" w:hAnsi="Aptos Bold" w:cs="Aptos Bold"/>
          <w:b/>
          <w:bCs/>
          <w:color w:val="000000"/>
          <w:sz w:val="26"/>
          <w:szCs w:val="26"/>
        </w:rPr>
        <w:t>Decide what you’re going to track</w:t>
      </w:r>
      <w:r>
        <w:rPr>
          <w:rFonts w:ascii="Aptos" w:eastAsia="Aptos" w:hAnsi="Aptos" w:cs="Aptos"/>
          <w:color w:val="000000"/>
          <w:sz w:val="26"/>
          <w:szCs w:val="26"/>
        </w:rPr>
        <w:t xml:space="preserve"> </w:t>
      </w:r>
    </w:p>
    <w:p w14:paraId="51240A86" w14:textId="0E07D921" w:rsidR="00EF16BC" w:rsidRDefault="006339D8">
      <w:pPr>
        <w:spacing w:before="120" w:after="120" w:line="336" w:lineRule="auto"/>
      </w:pPr>
      <w:r>
        <w:rPr>
          <w:rFonts w:ascii="Aptos" w:eastAsia="Aptos" w:hAnsi="Aptos" w:cs="Aptos"/>
          <w:color w:val="000000"/>
          <w:sz w:val="26"/>
          <w:szCs w:val="26"/>
        </w:rPr>
        <w:t>Before tracking anything, it’s important to agree on what counts as a meeting or</w:t>
      </w:r>
      <w:r w:rsidR="004640CE">
        <w:rPr>
          <w:rFonts w:ascii="Aptos" w:eastAsia="Aptos" w:hAnsi="Aptos" w:cs="Aptos"/>
          <w:color w:val="000000"/>
          <w:sz w:val="26"/>
          <w:szCs w:val="26"/>
        </w:rPr>
        <w:br/>
      </w:r>
      <w:r>
        <w:rPr>
          <w:rFonts w:ascii="Aptos" w:eastAsia="Aptos" w:hAnsi="Aptos" w:cs="Aptos"/>
          <w:color w:val="000000"/>
          <w:sz w:val="26"/>
          <w:szCs w:val="26"/>
        </w:rPr>
        <w:t xml:space="preserve">event for your organization. This will vary by company, but the aim is to focus on activity that is meaningful from a cost, risk, or effort perspective. </w:t>
      </w:r>
      <w:r w:rsidR="004640CE">
        <w:br/>
      </w:r>
      <w:r w:rsidR="004640CE">
        <w:br/>
      </w:r>
      <w:r>
        <w:rPr>
          <w:rFonts w:ascii="Aptos" w:eastAsia="Aptos" w:hAnsi="Aptos" w:cs="Aptos"/>
          <w:color w:val="000000"/>
          <w:sz w:val="26"/>
          <w:szCs w:val="26"/>
        </w:rPr>
        <w:t xml:space="preserve">To keep tracking manageable, many organizations set simple guidelines around size, location, or complexity. For example, this might mean: </w:t>
      </w:r>
      <w:r w:rsidR="004640CE">
        <w:rPr>
          <w:rFonts w:ascii="Aptos" w:eastAsia="Aptos" w:hAnsi="Aptos" w:cs="Aptos"/>
          <w:color w:val="000000"/>
          <w:sz w:val="26"/>
          <w:szCs w:val="26"/>
        </w:rPr>
        <w:br/>
      </w:r>
    </w:p>
    <w:p w14:paraId="6EB48B7F" w14:textId="5D55D70E" w:rsidR="00EF16BC" w:rsidRDefault="004640CE">
      <w:pPr>
        <w:numPr>
          <w:ilvl w:val="0"/>
          <w:numId w:val="1"/>
        </w:numPr>
        <w:spacing w:after="0" w:line="336" w:lineRule="auto"/>
      </w:pPr>
      <w:r>
        <w:rPr>
          <w:rFonts w:ascii="Aptos" w:eastAsia="Aptos" w:hAnsi="Aptos" w:cs="Aptos"/>
          <w:color w:val="000000"/>
          <w:sz w:val="26"/>
          <w:szCs w:val="26"/>
        </w:rPr>
        <w:t xml:space="preserve">Tracking off‑site meetings above a certain size (such as 10 or more participants) </w:t>
      </w:r>
    </w:p>
    <w:p w14:paraId="1F5878A8" w14:textId="77777777" w:rsidR="00EF16BC" w:rsidRDefault="006339D8">
      <w:pPr>
        <w:numPr>
          <w:ilvl w:val="0"/>
          <w:numId w:val="1"/>
        </w:numPr>
        <w:spacing w:after="0" w:line="336" w:lineRule="auto"/>
      </w:pPr>
      <w:r>
        <w:rPr>
          <w:rFonts w:ascii="Aptos" w:eastAsia="Aptos" w:hAnsi="Aptos" w:cs="Aptos"/>
          <w:color w:val="000000"/>
          <w:sz w:val="26"/>
          <w:szCs w:val="26"/>
        </w:rPr>
        <w:t xml:space="preserve">Tracking larger on‑site meetings (for example, 25 or more participants) </w:t>
      </w:r>
    </w:p>
    <w:p w14:paraId="20197FB4" w14:textId="22D170AE" w:rsidR="00EF16BC" w:rsidRDefault="006339D8">
      <w:pPr>
        <w:numPr>
          <w:ilvl w:val="0"/>
          <w:numId w:val="1"/>
        </w:numPr>
        <w:spacing w:after="0" w:line="336" w:lineRule="auto"/>
      </w:pPr>
      <w:r>
        <w:rPr>
          <w:rFonts w:ascii="Aptos" w:eastAsia="Aptos" w:hAnsi="Aptos" w:cs="Aptos"/>
          <w:color w:val="000000"/>
          <w:sz w:val="26"/>
          <w:szCs w:val="26"/>
        </w:rPr>
        <w:lastRenderedPageBreak/>
        <w:t xml:space="preserve">Excluding very small or informal meetings.  </w:t>
      </w:r>
    </w:p>
    <w:p w14:paraId="0D44D87D" w14:textId="77777777" w:rsidR="00EF16BC" w:rsidRDefault="006339D8">
      <w:pPr>
        <w:spacing w:before="120" w:after="120" w:line="336" w:lineRule="auto"/>
      </w:pPr>
      <w:r>
        <w:rPr>
          <w:rFonts w:ascii="Aptos" w:eastAsia="Aptos" w:hAnsi="Aptos" w:cs="Aptos"/>
          <w:color w:val="000000"/>
          <w:sz w:val="26"/>
          <w:szCs w:val="26"/>
        </w:rPr>
        <w:t xml:space="preserve"> </w:t>
      </w:r>
    </w:p>
    <w:p w14:paraId="0496399C" w14:textId="25F13BF2" w:rsidR="00EF16BC" w:rsidRDefault="006339D8">
      <w:pPr>
        <w:spacing w:before="120" w:after="120" w:line="336" w:lineRule="auto"/>
      </w:pPr>
      <w:r>
        <w:rPr>
          <w:rFonts w:ascii="Aptos Bold" w:eastAsia="Aptos Bold" w:hAnsi="Aptos Bold" w:cs="Aptos Bold"/>
          <w:b/>
          <w:bCs/>
          <w:color w:val="000000"/>
          <w:sz w:val="26"/>
          <w:szCs w:val="26"/>
        </w:rPr>
        <w:t>Once this is defined, start with these measures</w:t>
      </w:r>
      <w:r>
        <w:rPr>
          <w:rFonts w:ascii="Aptos" w:eastAsia="Aptos" w:hAnsi="Aptos" w:cs="Aptos"/>
          <w:color w:val="000000"/>
          <w:sz w:val="26"/>
          <w:szCs w:val="26"/>
        </w:rPr>
        <w:t xml:space="preserve"> </w:t>
      </w:r>
      <w:r w:rsidR="004640CE">
        <w:br/>
      </w:r>
      <w:r>
        <w:rPr>
          <w:rFonts w:ascii="Aptos" w:eastAsia="Aptos" w:hAnsi="Aptos" w:cs="Aptos"/>
          <w:color w:val="000000"/>
          <w:sz w:val="26"/>
          <w:szCs w:val="26"/>
        </w:rPr>
        <w:t>Once you’ve agreed on what you are counting as a meeting or event, these are the first measures most organizations begin with. They answer the basic questions people usually ask</w:t>
      </w:r>
      <w:r w:rsidR="006C57A5">
        <w:rPr>
          <w:rFonts w:ascii="Aptos" w:eastAsia="Aptos" w:hAnsi="Aptos" w:cs="Aptos"/>
          <w:color w:val="000000"/>
          <w:sz w:val="26"/>
          <w:szCs w:val="26"/>
        </w:rPr>
        <w:t>:</w:t>
      </w:r>
      <w:r>
        <w:rPr>
          <w:rFonts w:ascii="Aptos" w:eastAsia="Aptos" w:hAnsi="Aptos" w:cs="Aptos"/>
          <w:color w:val="000000"/>
          <w:sz w:val="26"/>
          <w:szCs w:val="26"/>
        </w:rPr>
        <w:t xml:space="preserve"> How many meetings are taking place, how much they cost and what that means in practice, without needing complex systems or specialist tools. </w:t>
      </w:r>
    </w:p>
    <w:p w14:paraId="122CC242" w14:textId="77777777" w:rsidR="00EF16BC" w:rsidRDefault="006339D8">
      <w:pPr>
        <w:spacing w:before="120" w:after="120" w:line="336" w:lineRule="auto"/>
      </w:pPr>
      <w:r>
        <w:rPr>
          <w:rFonts w:ascii="Aptos" w:eastAsia="Aptos" w:hAnsi="Aptos" w:cs="Aptos"/>
          <w:color w:val="000000"/>
          <w:sz w:val="26"/>
          <w:szCs w:val="26"/>
        </w:rPr>
        <w:t xml:space="preserve">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1795"/>
        <w:gridCol w:w="2438"/>
        <w:gridCol w:w="2293"/>
        <w:gridCol w:w="2834"/>
      </w:tblGrid>
      <w:tr w:rsidR="00EF16BC" w14:paraId="6D9E09CA" w14:textId="77777777">
        <w:tc>
          <w:tcPr>
            <w:tcW w:w="1795" w:type="dxa"/>
            <w:shd w:val="clear" w:color="auto" w:fill="17A697"/>
            <w:tcMar>
              <w:top w:w="75" w:type="dxa"/>
              <w:left w:w="75" w:type="dxa"/>
              <w:bottom w:w="75" w:type="dxa"/>
              <w:right w:w="75" w:type="dxa"/>
            </w:tcMar>
          </w:tcPr>
          <w:p w14:paraId="5A251460" w14:textId="77777777" w:rsidR="00EF16BC" w:rsidRDefault="006339D8">
            <w:pPr>
              <w:spacing w:before="120" w:after="120" w:line="300" w:lineRule="auto"/>
            </w:pPr>
            <w:r>
              <w:rPr>
                <w:rFonts w:ascii="Aptos Bold" w:eastAsia="Aptos Bold" w:hAnsi="Aptos Bold" w:cs="Aptos Bold"/>
                <w:b/>
                <w:bCs/>
                <w:color w:val="FFFFFF"/>
              </w:rPr>
              <w:t xml:space="preserve">Metric </w:t>
            </w:r>
          </w:p>
        </w:tc>
        <w:tc>
          <w:tcPr>
            <w:tcW w:w="2437" w:type="dxa"/>
            <w:shd w:val="clear" w:color="auto" w:fill="17A697"/>
            <w:tcMar>
              <w:top w:w="75" w:type="dxa"/>
              <w:left w:w="75" w:type="dxa"/>
              <w:bottom w:w="75" w:type="dxa"/>
              <w:right w:w="75" w:type="dxa"/>
            </w:tcMar>
          </w:tcPr>
          <w:p w14:paraId="5B8B7BC4" w14:textId="77777777" w:rsidR="00EF16BC" w:rsidRDefault="006339D8">
            <w:pPr>
              <w:spacing w:before="120" w:after="120" w:line="336" w:lineRule="auto"/>
            </w:pPr>
            <w:r>
              <w:rPr>
                <w:rFonts w:ascii="Aptos Bold" w:eastAsia="Aptos Bold" w:hAnsi="Aptos Bold" w:cs="Aptos Bold"/>
                <w:b/>
                <w:bCs/>
                <w:color w:val="FFFFFF"/>
              </w:rPr>
              <w:t xml:space="preserve">What It Tells You </w:t>
            </w:r>
          </w:p>
        </w:tc>
        <w:tc>
          <w:tcPr>
            <w:tcW w:w="2293" w:type="dxa"/>
            <w:shd w:val="clear" w:color="auto" w:fill="17A697"/>
            <w:tcMar>
              <w:top w:w="75" w:type="dxa"/>
              <w:left w:w="75" w:type="dxa"/>
              <w:bottom w:w="75" w:type="dxa"/>
              <w:right w:w="75" w:type="dxa"/>
            </w:tcMar>
          </w:tcPr>
          <w:p w14:paraId="111806B1" w14:textId="77777777" w:rsidR="00EF16BC" w:rsidRDefault="006339D8">
            <w:pPr>
              <w:spacing w:before="120" w:after="120" w:line="336" w:lineRule="auto"/>
            </w:pPr>
            <w:r>
              <w:rPr>
                <w:rFonts w:ascii="Aptos Bold" w:eastAsia="Aptos Bold" w:hAnsi="Aptos Bold" w:cs="Aptos Bold"/>
                <w:b/>
                <w:bCs/>
                <w:color w:val="FFFFFF"/>
              </w:rPr>
              <w:t xml:space="preserve">Why it’s Important </w:t>
            </w:r>
          </w:p>
        </w:tc>
        <w:tc>
          <w:tcPr>
            <w:tcW w:w="2833" w:type="dxa"/>
            <w:shd w:val="clear" w:color="auto" w:fill="17A697"/>
            <w:tcMar>
              <w:top w:w="75" w:type="dxa"/>
              <w:left w:w="75" w:type="dxa"/>
              <w:bottom w:w="75" w:type="dxa"/>
              <w:right w:w="75" w:type="dxa"/>
            </w:tcMar>
          </w:tcPr>
          <w:p w14:paraId="61C56AC6" w14:textId="77777777" w:rsidR="00EF16BC" w:rsidRDefault="006339D8">
            <w:pPr>
              <w:spacing w:before="120" w:after="120" w:line="336" w:lineRule="auto"/>
            </w:pPr>
            <w:r>
              <w:rPr>
                <w:rFonts w:ascii="Aptos Bold" w:eastAsia="Aptos Bold" w:hAnsi="Aptos Bold" w:cs="Aptos Bold"/>
                <w:b/>
                <w:bCs/>
                <w:color w:val="FFFFFF"/>
              </w:rPr>
              <w:t xml:space="preserve">How it’s Calculated </w:t>
            </w:r>
          </w:p>
        </w:tc>
      </w:tr>
      <w:tr w:rsidR="00EF16BC" w14:paraId="59593122" w14:textId="77777777">
        <w:tc>
          <w:tcPr>
            <w:tcW w:w="1795" w:type="dxa"/>
            <w:shd w:val="clear" w:color="auto" w:fill="F1EFFC"/>
            <w:tcMar>
              <w:top w:w="75" w:type="dxa"/>
              <w:left w:w="75" w:type="dxa"/>
              <w:bottom w:w="75" w:type="dxa"/>
              <w:right w:w="75" w:type="dxa"/>
            </w:tcMar>
          </w:tcPr>
          <w:p w14:paraId="62EA7EBF" w14:textId="77777777" w:rsidR="00EF16BC" w:rsidRDefault="006339D8">
            <w:pPr>
              <w:spacing w:before="120" w:after="120" w:line="336" w:lineRule="auto"/>
            </w:pPr>
            <w:r>
              <w:rPr>
                <w:rFonts w:ascii="Aptos Bold" w:eastAsia="Aptos Bold" w:hAnsi="Aptos Bold" w:cs="Aptos Bold"/>
                <w:b/>
                <w:bCs/>
                <w:color w:val="000000"/>
              </w:rPr>
              <w:t xml:space="preserve">Number of Meetings </w:t>
            </w:r>
          </w:p>
        </w:tc>
        <w:tc>
          <w:tcPr>
            <w:tcW w:w="2437" w:type="dxa"/>
            <w:tcMar>
              <w:top w:w="75" w:type="dxa"/>
              <w:left w:w="75" w:type="dxa"/>
              <w:bottom w:w="75" w:type="dxa"/>
              <w:right w:w="75" w:type="dxa"/>
            </w:tcMar>
          </w:tcPr>
          <w:p w14:paraId="590D42AC" w14:textId="77777777" w:rsidR="00EF16BC" w:rsidRDefault="006339D8">
            <w:pPr>
              <w:spacing w:before="120" w:after="120" w:line="336" w:lineRule="auto"/>
            </w:pPr>
            <w:r>
              <w:rPr>
                <w:rFonts w:ascii="Aptos" w:eastAsia="Aptos" w:hAnsi="Aptos" w:cs="Aptos"/>
                <w:color w:val="000000"/>
              </w:rPr>
              <w:t xml:space="preserve">How many meetings or events take place in a given period </w:t>
            </w:r>
          </w:p>
        </w:tc>
        <w:tc>
          <w:tcPr>
            <w:tcW w:w="2293" w:type="dxa"/>
            <w:tcMar>
              <w:top w:w="75" w:type="dxa"/>
              <w:left w:w="75" w:type="dxa"/>
              <w:bottom w:w="75" w:type="dxa"/>
              <w:right w:w="75" w:type="dxa"/>
            </w:tcMar>
          </w:tcPr>
          <w:p w14:paraId="6CC39FCA" w14:textId="77777777" w:rsidR="00EF16BC" w:rsidRDefault="006339D8">
            <w:pPr>
              <w:spacing w:before="120" w:after="120" w:line="336" w:lineRule="auto"/>
            </w:pPr>
            <w:r>
              <w:rPr>
                <w:rFonts w:ascii="Aptos" w:eastAsia="Aptos" w:hAnsi="Aptos" w:cs="Aptos"/>
                <w:color w:val="000000"/>
              </w:rPr>
              <w:t xml:space="preserve">Creates basic visibility and establishes opportunity and scale </w:t>
            </w:r>
          </w:p>
        </w:tc>
        <w:tc>
          <w:tcPr>
            <w:tcW w:w="2833" w:type="dxa"/>
            <w:tcMar>
              <w:top w:w="75" w:type="dxa"/>
              <w:left w:w="75" w:type="dxa"/>
              <w:bottom w:w="75" w:type="dxa"/>
              <w:right w:w="75" w:type="dxa"/>
            </w:tcMar>
          </w:tcPr>
          <w:p w14:paraId="27D60A63" w14:textId="77777777" w:rsidR="00EF16BC" w:rsidRDefault="006339D8">
            <w:pPr>
              <w:spacing w:before="120" w:after="120" w:line="336" w:lineRule="auto"/>
            </w:pPr>
            <w:r>
              <w:rPr>
                <w:rFonts w:ascii="Aptos" w:eastAsia="Aptos" w:hAnsi="Aptos" w:cs="Aptos"/>
                <w:color w:val="000000"/>
              </w:rPr>
              <w:t xml:space="preserve">Count of meetings held in a defined period </w:t>
            </w:r>
          </w:p>
        </w:tc>
      </w:tr>
      <w:tr w:rsidR="00EF16BC" w14:paraId="46FA0582" w14:textId="77777777">
        <w:tc>
          <w:tcPr>
            <w:tcW w:w="1795" w:type="dxa"/>
            <w:shd w:val="clear" w:color="auto" w:fill="F1EFFC"/>
            <w:tcMar>
              <w:top w:w="75" w:type="dxa"/>
              <w:left w:w="75" w:type="dxa"/>
              <w:bottom w:w="75" w:type="dxa"/>
              <w:right w:w="75" w:type="dxa"/>
            </w:tcMar>
          </w:tcPr>
          <w:p w14:paraId="4DBED5E5" w14:textId="77777777" w:rsidR="00EF16BC" w:rsidRDefault="006339D8">
            <w:pPr>
              <w:spacing w:before="120" w:after="120" w:line="336" w:lineRule="auto"/>
            </w:pPr>
            <w:r>
              <w:rPr>
                <w:rFonts w:ascii="Aptos Bold" w:eastAsia="Aptos Bold" w:hAnsi="Aptos Bold" w:cs="Aptos Bold"/>
                <w:b/>
                <w:bCs/>
                <w:color w:val="000000"/>
              </w:rPr>
              <w:t xml:space="preserve">Total Meetings Spend </w:t>
            </w:r>
          </w:p>
        </w:tc>
        <w:tc>
          <w:tcPr>
            <w:tcW w:w="2437" w:type="dxa"/>
            <w:tcMar>
              <w:top w:w="75" w:type="dxa"/>
              <w:left w:w="75" w:type="dxa"/>
              <w:bottom w:w="75" w:type="dxa"/>
              <w:right w:w="75" w:type="dxa"/>
            </w:tcMar>
          </w:tcPr>
          <w:p w14:paraId="2D20854A" w14:textId="77777777" w:rsidR="00EF16BC" w:rsidRDefault="006339D8">
            <w:pPr>
              <w:spacing w:before="120" w:after="120" w:line="336" w:lineRule="auto"/>
            </w:pPr>
            <w:r>
              <w:rPr>
                <w:rFonts w:ascii="Aptos" w:eastAsia="Aptos" w:hAnsi="Aptos" w:cs="Aptos"/>
                <w:color w:val="000000"/>
              </w:rPr>
              <w:t xml:space="preserve">How much is spent on meetings overall </w:t>
            </w:r>
          </w:p>
        </w:tc>
        <w:tc>
          <w:tcPr>
            <w:tcW w:w="2293" w:type="dxa"/>
            <w:tcMar>
              <w:top w:w="75" w:type="dxa"/>
              <w:left w:w="75" w:type="dxa"/>
              <w:bottom w:w="75" w:type="dxa"/>
              <w:right w:w="75" w:type="dxa"/>
            </w:tcMar>
          </w:tcPr>
          <w:p w14:paraId="53A62C37" w14:textId="77777777" w:rsidR="00EF16BC" w:rsidRDefault="006339D8">
            <w:pPr>
              <w:spacing w:before="120" w:after="120" w:line="336" w:lineRule="auto"/>
            </w:pPr>
            <w:r>
              <w:rPr>
                <w:rFonts w:ascii="Aptos" w:eastAsia="Aptos" w:hAnsi="Aptos" w:cs="Aptos"/>
                <w:color w:val="000000"/>
              </w:rPr>
              <w:t xml:space="preserve">Reveals the true financial impact of meetings </w:t>
            </w:r>
          </w:p>
        </w:tc>
        <w:tc>
          <w:tcPr>
            <w:tcW w:w="2833" w:type="dxa"/>
            <w:tcMar>
              <w:top w:w="75" w:type="dxa"/>
              <w:left w:w="75" w:type="dxa"/>
              <w:bottom w:w="75" w:type="dxa"/>
              <w:right w:w="75" w:type="dxa"/>
            </w:tcMar>
          </w:tcPr>
          <w:p w14:paraId="28FB2CFF" w14:textId="77777777" w:rsidR="00EF16BC" w:rsidRDefault="006339D8">
            <w:pPr>
              <w:spacing w:before="120" w:after="120" w:line="336" w:lineRule="auto"/>
            </w:pPr>
            <w:r>
              <w:rPr>
                <w:rFonts w:ascii="Aptos" w:eastAsia="Aptos" w:hAnsi="Aptos" w:cs="Aptos"/>
                <w:color w:val="000000"/>
              </w:rPr>
              <w:t xml:space="preserve">Total spend for all meetings </w:t>
            </w:r>
          </w:p>
        </w:tc>
      </w:tr>
      <w:tr w:rsidR="00EF16BC" w14:paraId="5D8097DD" w14:textId="77777777">
        <w:tc>
          <w:tcPr>
            <w:tcW w:w="1795" w:type="dxa"/>
            <w:shd w:val="clear" w:color="auto" w:fill="F1EFFC"/>
            <w:tcMar>
              <w:top w:w="75" w:type="dxa"/>
              <w:left w:w="75" w:type="dxa"/>
              <w:bottom w:w="75" w:type="dxa"/>
              <w:right w:w="75" w:type="dxa"/>
            </w:tcMar>
          </w:tcPr>
          <w:p w14:paraId="00B22206" w14:textId="77777777" w:rsidR="00EF16BC" w:rsidRDefault="006339D8">
            <w:pPr>
              <w:spacing w:before="120" w:after="120" w:line="336" w:lineRule="auto"/>
            </w:pPr>
            <w:r>
              <w:rPr>
                <w:rFonts w:ascii="Aptos Bold" w:eastAsia="Aptos Bold" w:hAnsi="Aptos Bold" w:cs="Aptos Bold"/>
                <w:b/>
                <w:bCs/>
                <w:color w:val="000000"/>
              </w:rPr>
              <w:t xml:space="preserve">Average Cost per Meeting </w:t>
            </w:r>
          </w:p>
        </w:tc>
        <w:tc>
          <w:tcPr>
            <w:tcW w:w="2437" w:type="dxa"/>
            <w:tcMar>
              <w:top w:w="75" w:type="dxa"/>
              <w:left w:w="75" w:type="dxa"/>
              <w:bottom w:w="75" w:type="dxa"/>
              <w:right w:w="75" w:type="dxa"/>
            </w:tcMar>
          </w:tcPr>
          <w:p w14:paraId="4CCFF2D5" w14:textId="77777777" w:rsidR="00EF16BC" w:rsidRDefault="006339D8">
            <w:pPr>
              <w:spacing w:before="120" w:after="120" w:line="336" w:lineRule="auto"/>
            </w:pPr>
            <w:r>
              <w:rPr>
                <w:rFonts w:ascii="Aptos" w:eastAsia="Aptos" w:hAnsi="Aptos" w:cs="Aptos"/>
                <w:color w:val="000000"/>
              </w:rPr>
              <w:t xml:space="preserve">The typical cost of a meeting </w:t>
            </w:r>
          </w:p>
        </w:tc>
        <w:tc>
          <w:tcPr>
            <w:tcW w:w="2293" w:type="dxa"/>
            <w:tcMar>
              <w:top w:w="75" w:type="dxa"/>
              <w:left w:w="75" w:type="dxa"/>
              <w:bottom w:w="75" w:type="dxa"/>
              <w:right w:w="75" w:type="dxa"/>
            </w:tcMar>
          </w:tcPr>
          <w:p w14:paraId="60A3A720" w14:textId="77777777" w:rsidR="00EF16BC" w:rsidRDefault="006339D8">
            <w:pPr>
              <w:spacing w:before="120" w:after="120" w:line="336" w:lineRule="auto"/>
            </w:pPr>
            <w:r>
              <w:rPr>
                <w:rFonts w:ascii="Aptos" w:eastAsia="Aptos" w:hAnsi="Aptos" w:cs="Aptos"/>
                <w:color w:val="000000"/>
              </w:rPr>
              <w:t xml:space="preserve">Useful for budgeting and comparing meeting types </w:t>
            </w:r>
          </w:p>
        </w:tc>
        <w:tc>
          <w:tcPr>
            <w:tcW w:w="2833" w:type="dxa"/>
            <w:tcMar>
              <w:top w:w="75" w:type="dxa"/>
              <w:left w:w="75" w:type="dxa"/>
              <w:bottom w:w="75" w:type="dxa"/>
              <w:right w:w="75" w:type="dxa"/>
            </w:tcMar>
          </w:tcPr>
          <w:p w14:paraId="014F6273" w14:textId="77777777" w:rsidR="00EF16BC" w:rsidRDefault="006339D8">
            <w:pPr>
              <w:spacing w:before="120" w:after="120" w:line="336" w:lineRule="auto"/>
            </w:pPr>
            <w:r>
              <w:rPr>
                <w:rFonts w:ascii="Aptos" w:eastAsia="Aptos" w:hAnsi="Aptos" w:cs="Aptos"/>
                <w:color w:val="000000"/>
              </w:rPr>
              <w:t xml:space="preserve">Total meetings spend ÷ number of meetings </w:t>
            </w:r>
          </w:p>
        </w:tc>
      </w:tr>
      <w:tr w:rsidR="00EF16BC" w14:paraId="3BD5A7F6" w14:textId="77777777">
        <w:tc>
          <w:tcPr>
            <w:tcW w:w="1795" w:type="dxa"/>
            <w:shd w:val="clear" w:color="auto" w:fill="F1EFFC"/>
            <w:tcMar>
              <w:top w:w="75" w:type="dxa"/>
              <w:left w:w="75" w:type="dxa"/>
              <w:bottom w:w="75" w:type="dxa"/>
              <w:right w:w="75" w:type="dxa"/>
            </w:tcMar>
          </w:tcPr>
          <w:p w14:paraId="294EDB12" w14:textId="77777777" w:rsidR="00EF16BC" w:rsidRDefault="006339D8">
            <w:pPr>
              <w:spacing w:before="120" w:after="120" w:line="336" w:lineRule="auto"/>
            </w:pPr>
            <w:r>
              <w:rPr>
                <w:rFonts w:ascii="Aptos Bold" w:eastAsia="Aptos Bold" w:hAnsi="Aptos Bold" w:cs="Aptos Bold"/>
                <w:b/>
                <w:bCs/>
                <w:color w:val="000000"/>
              </w:rPr>
              <w:t xml:space="preserve">Average Cost per Attendee </w:t>
            </w:r>
          </w:p>
        </w:tc>
        <w:tc>
          <w:tcPr>
            <w:tcW w:w="2437" w:type="dxa"/>
            <w:tcMar>
              <w:top w:w="75" w:type="dxa"/>
              <w:left w:w="75" w:type="dxa"/>
              <w:bottom w:w="75" w:type="dxa"/>
              <w:right w:w="75" w:type="dxa"/>
            </w:tcMar>
          </w:tcPr>
          <w:p w14:paraId="5137020D" w14:textId="77777777" w:rsidR="00EF16BC" w:rsidRDefault="006339D8">
            <w:pPr>
              <w:spacing w:before="120" w:after="120" w:line="336" w:lineRule="auto"/>
            </w:pPr>
            <w:r>
              <w:rPr>
                <w:rFonts w:ascii="Aptos" w:eastAsia="Aptos" w:hAnsi="Aptos" w:cs="Aptos"/>
                <w:color w:val="000000"/>
              </w:rPr>
              <w:t xml:space="preserve">Spend per person attending a meeting </w:t>
            </w:r>
          </w:p>
        </w:tc>
        <w:tc>
          <w:tcPr>
            <w:tcW w:w="2293" w:type="dxa"/>
            <w:tcMar>
              <w:top w:w="75" w:type="dxa"/>
              <w:left w:w="75" w:type="dxa"/>
              <w:bottom w:w="75" w:type="dxa"/>
              <w:right w:w="75" w:type="dxa"/>
            </w:tcMar>
          </w:tcPr>
          <w:p w14:paraId="4656959F" w14:textId="77777777" w:rsidR="00EF16BC" w:rsidRDefault="006339D8">
            <w:pPr>
              <w:spacing w:before="120" w:after="120" w:line="336" w:lineRule="auto"/>
            </w:pPr>
            <w:r>
              <w:rPr>
                <w:rFonts w:ascii="Aptos" w:eastAsia="Aptos" w:hAnsi="Aptos" w:cs="Aptos"/>
                <w:color w:val="000000"/>
              </w:rPr>
              <w:t xml:space="preserve">Helps highlight efficiency and value </w:t>
            </w:r>
          </w:p>
        </w:tc>
        <w:tc>
          <w:tcPr>
            <w:tcW w:w="2833" w:type="dxa"/>
            <w:tcMar>
              <w:top w:w="75" w:type="dxa"/>
              <w:left w:w="75" w:type="dxa"/>
              <w:bottom w:w="75" w:type="dxa"/>
              <w:right w:w="75" w:type="dxa"/>
            </w:tcMar>
          </w:tcPr>
          <w:p w14:paraId="02B6D9FE" w14:textId="77777777" w:rsidR="00EF16BC" w:rsidRDefault="006339D8">
            <w:pPr>
              <w:spacing w:before="120" w:after="120" w:line="336" w:lineRule="auto"/>
            </w:pPr>
            <w:r>
              <w:rPr>
                <w:rFonts w:ascii="Aptos" w:eastAsia="Aptos" w:hAnsi="Aptos" w:cs="Aptos"/>
                <w:color w:val="000000"/>
              </w:rPr>
              <w:t xml:space="preserve">(Cost per meeting ÷ number of attendees), averaged across meetings </w:t>
            </w:r>
          </w:p>
        </w:tc>
      </w:tr>
    </w:tbl>
    <w:p w14:paraId="2B654A6F" w14:textId="0D2BC2EA" w:rsidR="00EF16BC" w:rsidRDefault="006339D8">
      <w:pPr>
        <w:spacing w:before="120" w:after="120" w:line="336" w:lineRule="auto"/>
      </w:pPr>
      <w:r>
        <w:rPr>
          <w:rFonts w:ascii="Aptos Bold" w:eastAsia="Aptos Bold" w:hAnsi="Aptos Bold" w:cs="Aptos Bold"/>
          <w:b/>
          <w:bCs/>
          <w:color w:val="000000"/>
          <w:sz w:val="26"/>
          <w:szCs w:val="26"/>
        </w:rPr>
        <w:lastRenderedPageBreak/>
        <w:t xml:space="preserve"> Why these first? </w:t>
      </w:r>
      <w:r>
        <w:rPr>
          <w:rFonts w:ascii="Aptos Bold" w:eastAsia="Aptos Bold" w:hAnsi="Aptos Bold" w:cs="Aptos Bold"/>
          <w:b/>
          <w:bCs/>
          <w:color w:val="000000"/>
          <w:sz w:val="26"/>
          <w:szCs w:val="26"/>
        </w:rPr>
        <w:br/>
      </w:r>
      <w:r>
        <w:rPr>
          <w:rFonts w:ascii="Aptos" w:eastAsia="Aptos" w:hAnsi="Aptos" w:cs="Aptos"/>
          <w:color w:val="000000"/>
          <w:sz w:val="26"/>
          <w:szCs w:val="26"/>
        </w:rPr>
        <w:t xml:space="preserve">Together, these metrics give you a clear view of meeting volume, overall cost, and relative value. They help you see what’s happening today and provide a reliable base to build on as you look for deeper insight over time. </w:t>
      </w:r>
    </w:p>
    <w:p w14:paraId="67E548CE" w14:textId="77777777" w:rsidR="00EF16BC" w:rsidRDefault="006339D8">
      <w:pPr>
        <w:spacing w:before="120" w:after="120" w:line="336" w:lineRule="auto"/>
      </w:pPr>
      <w:r>
        <w:rPr>
          <w:rFonts w:ascii="Aptos" w:eastAsia="Aptos" w:hAnsi="Aptos" w:cs="Aptos"/>
          <w:color w:val="000000"/>
          <w:sz w:val="26"/>
          <w:szCs w:val="26"/>
        </w:rPr>
        <w:t xml:space="preserve"> </w:t>
      </w:r>
    </w:p>
    <w:p w14:paraId="622707C9" w14:textId="77777777" w:rsidR="00EF16BC" w:rsidRDefault="006339D8">
      <w:pPr>
        <w:spacing w:before="120" w:after="120" w:line="336" w:lineRule="auto"/>
      </w:pPr>
      <w:r>
        <w:rPr>
          <w:rFonts w:ascii="Aptos Bold" w:eastAsia="Aptos Bold" w:hAnsi="Aptos Bold" w:cs="Aptos Bold"/>
          <w:b/>
          <w:bCs/>
          <w:color w:val="17A697"/>
          <w:sz w:val="32"/>
          <w:szCs w:val="32"/>
        </w:rPr>
        <w:t xml:space="preserve">WHAT TO CAPTURE FOR EACH MEETING </w:t>
      </w:r>
    </w:p>
    <w:p w14:paraId="24A950D3" w14:textId="7577949B" w:rsidR="00EF16BC" w:rsidRDefault="006339D8">
      <w:pPr>
        <w:spacing w:before="120" w:after="120" w:line="336" w:lineRule="auto"/>
      </w:pPr>
      <w:r>
        <w:rPr>
          <w:rFonts w:ascii="Aptos" w:eastAsia="Aptos" w:hAnsi="Aptos" w:cs="Aptos"/>
          <w:color w:val="000000"/>
          <w:sz w:val="26"/>
          <w:szCs w:val="26"/>
        </w:rPr>
        <w:t xml:space="preserve">To calculate the metrics above, you need to consistently capture a small set of data for each individual meeting. This doesn’t need to be complex. It just needs to be consistent. </w:t>
      </w:r>
      <w:r w:rsidR="004640CE">
        <w:br/>
      </w:r>
      <w:r w:rsidR="004640CE">
        <w:br/>
      </w:r>
      <w:r>
        <w:rPr>
          <w:rFonts w:ascii="Aptos" w:eastAsia="Aptos" w:hAnsi="Aptos" w:cs="Aptos"/>
          <w:color w:val="000000"/>
          <w:sz w:val="26"/>
          <w:szCs w:val="26"/>
        </w:rPr>
        <w:t xml:space="preserve">Set up a simple process for collecting this data. Start with one region, ideally where volume or spend is highest, to pilot the approach.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2790"/>
        <w:gridCol w:w="3060"/>
        <w:gridCol w:w="3510"/>
      </w:tblGrid>
      <w:tr w:rsidR="00EF16BC" w14:paraId="7FEC9874" w14:textId="77777777" w:rsidTr="007F2D78">
        <w:tc>
          <w:tcPr>
            <w:tcW w:w="2790" w:type="dxa"/>
            <w:shd w:val="clear" w:color="auto" w:fill="17A697"/>
            <w:tcMar>
              <w:top w:w="75" w:type="dxa"/>
              <w:left w:w="75" w:type="dxa"/>
              <w:bottom w:w="75" w:type="dxa"/>
              <w:right w:w="75" w:type="dxa"/>
            </w:tcMar>
          </w:tcPr>
          <w:p w14:paraId="0E8E7D8E" w14:textId="1FCD9CF9" w:rsidR="00EF16BC" w:rsidRDefault="006339D8" w:rsidP="007F2D78">
            <w:pPr>
              <w:spacing w:before="120" w:after="120" w:line="300" w:lineRule="auto"/>
              <w:jc w:val="center"/>
            </w:pPr>
            <w:r>
              <w:rPr>
                <w:rFonts w:ascii="Aptos Bold" w:eastAsia="Aptos Bold" w:hAnsi="Aptos Bold" w:cs="Aptos Bold"/>
                <w:b/>
                <w:bCs/>
                <w:color w:val="FFFFFF"/>
              </w:rPr>
              <w:t>Per-Meeting Data Point</w:t>
            </w:r>
          </w:p>
        </w:tc>
        <w:tc>
          <w:tcPr>
            <w:tcW w:w="3060" w:type="dxa"/>
            <w:shd w:val="clear" w:color="auto" w:fill="17A697"/>
            <w:tcMar>
              <w:top w:w="75" w:type="dxa"/>
              <w:left w:w="75" w:type="dxa"/>
              <w:bottom w:w="75" w:type="dxa"/>
              <w:right w:w="75" w:type="dxa"/>
            </w:tcMar>
          </w:tcPr>
          <w:p w14:paraId="0B736E55" w14:textId="2E0BB4A8" w:rsidR="00EF16BC" w:rsidRDefault="006339D8" w:rsidP="007F2D78">
            <w:pPr>
              <w:spacing w:before="120" w:after="120" w:line="336" w:lineRule="auto"/>
              <w:jc w:val="center"/>
            </w:pPr>
            <w:r>
              <w:rPr>
                <w:rFonts w:ascii="Aptos Bold" w:eastAsia="Aptos Bold" w:hAnsi="Aptos Bold" w:cs="Aptos Bold"/>
                <w:b/>
                <w:bCs/>
                <w:color w:val="FFFFFF"/>
              </w:rPr>
              <w:t>Why You Need It</w:t>
            </w:r>
          </w:p>
        </w:tc>
        <w:tc>
          <w:tcPr>
            <w:tcW w:w="3510" w:type="dxa"/>
            <w:shd w:val="clear" w:color="auto" w:fill="17A697"/>
            <w:tcMar>
              <w:top w:w="75" w:type="dxa"/>
              <w:left w:w="75" w:type="dxa"/>
              <w:bottom w:w="75" w:type="dxa"/>
              <w:right w:w="75" w:type="dxa"/>
            </w:tcMar>
          </w:tcPr>
          <w:p w14:paraId="665C59C4" w14:textId="121E4D5A" w:rsidR="00EF16BC" w:rsidRDefault="006339D8" w:rsidP="007F2D78">
            <w:pPr>
              <w:spacing w:before="120" w:after="120" w:line="336" w:lineRule="auto"/>
              <w:jc w:val="center"/>
            </w:pPr>
            <w:r>
              <w:rPr>
                <w:rFonts w:ascii="Aptos Bold" w:eastAsia="Aptos Bold" w:hAnsi="Aptos Bold" w:cs="Aptos Bold"/>
                <w:b/>
                <w:bCs/>
                <w:color w:val="FFFFFF"/>
              </w:rPr>
              <w:t>How It’s Used</w:t>
            </w:r>
          </w:p>
        </w:tc>
      </w:tr>
      <w:tr w:rsidR="00EF16BC" w14:paraId="14160CDD" w14:textId="77777777" w:rsidTr="007F2D78">
        <w:tc>
          <w:tcPr>
            <w:tcW w:w="2790" w:type="dxa"/>
            <w:shd w:val="clear" w:color="auto" w:fill="F1EFFC"/>
            <w:tcMar>
              <w:top w:w="75" w:type="dxa"/>
              <w:left w:w="75" w:type="dxa"/>
              <w:bottom w:w="75" w:type="dxa"/>
              <w:right w:w="75" w:type="dxa"/>
            </w:tcMar>
            <w:vAlign w:val="center"/>
          </w:tcPr>
          <w:p w14:paraId="32A19BB1" w14:textId="77777777" w:rsidR="00EF16BC" w:rsidRDefault="006339D8" w:rsidP="007F2D78">
            <w:pPr>
              <w:spacing w:before="120" w:after="120" w:line="276" w:lineRule="auto"/>
            </w:pPr>
            <w:r>
              <w:rPr>
                <w:rFonts w:ascii="Aptos Bold" w:eastAsia="Aptos Bold" w:hAnsi="Aptos Bold" w:cs="Aptos Bold"/>
                <w:b/>
                <w:bCs/>
                <w:color w:val="000000"/>
              </w:rPr>
              <w:t xml:space="preserve">Confirmation the meeting took place </w:t>
            </w:r>
          </w:p>
        </w:tc>
        <w:tc>
          <w:tcPr>
            <w:tcW w:w="3060" w:type="dxa"/>
            <w:tcMar>
              <w:top w:w="75" w:type="dxa"/>
              <w:left w:w="75" w:type="dxa"/>
              <w:bottom w:w="75" w:type="dxa"/>
              <w:right w:w="75" w:type="dxa"/>
            </w:tcMar>
            <w:vAlign w:val="center"/>
          </w:tcPr>
          <w:p w14:paraId="7CDEB162" w14:textId="77777777" w:rsidR="00EF16BC" w:rsidRDefault="006339D8" w:rsidP="007F2D78">
            <w:pPr>
              <w:spacing w:before="120" w:after="120" w:line="276" w:lineRule="auto"/>
            </w:pPr>
            <w:r>
              <w:rPr>
                <w:rFonts w:ascii="Aptos" w:eastAsia="Aptos" w:hAnsi="Aptos" w:cs="Aptos"/>
                <w:color w:val="000000"/>
              </w:rPr>
              <w:t xml:space="preserve">Ensures the meeting is counted </w:t>
            </w:r>
          </w:p>
        </w:tc>
        <w:tc>
          <w:tcPr>
            <w:tcW w:w="3510" w:type="dxa"/>
            <w:tcMar>
              <w:top w:w="75" w:type="dxa"/>
              <w:left w:w="75" w:type="dxa"/>
              <w:bottom w:w="75" w:type="dxa"/>
              <w:right w:w="75" w:type="dxa"/>
            </w:tcMar>
            <w:vAlign w:val="center"/>
          </w:tcPr>
          <w:p w14:paraId="064805E0" w14:textId="77777777" w:rsidR="00EF16BC" w:rsidRDefault="006339D8" w:rsidP="007F2D78">
            <w:pPr>
              <w:spacing w:before="120" w:after="120" w:line="276" w:lineRule="auto"/>
            </w:pPr>
            <w:r>
              <w:rPr>
                <w:rFonts w:ascii="Aptos" w:eastAsia="Aptos" w:hAnsi="Aptos" w:cs="Aptos"/>
                <w:color w:val="000000"/>
              </w:rPr>
              <w:t xml:space="preserve">Used to calculate the total number of meetings </w:t>
            </w:r>
          </w:p>
        </w:tc>
      </w:tr>
      <w:tr w:rsidR="00EF16BC" w14:paraId="6601E765" w14:textId="77777777" w:rsidTr="007F2D78">
        <w:tc>
          <w:tcPr>
            <w:tcW w:w="2790" w:type="dxa"/>
            <w:shd w:val="clear" w:color="auto" w:fill="F1EFFC"/>
            <w:tcMar>
              <w:top w:w="75" w:type="dxa"/>
              <w:left w:w="75" w:type="dxa"/>
              <w:bottom w:w="75" w:type="dxa"/>
              <w:right w:w="75" w:type="dxa"/>
            </w:tcMar>
            <w:vAlign w:val="center"/>
          </w:tcPr>
          <w:p w14:paraId="2CF82D63" w14:textId="77777777" w:rsidR="00EF16BC" w:rsidRDefault="006339D8" w:rsidP="007F2D78">
            <w:pPr>
              <w:spacing w:before="120" w:after="120" w:line="276" w:lineRule="auto"/>
            </w:pPr>
            <w:r>
              <w:rPr>
                <w:rFonts w:ascii="Aptos Bold" w:eastAsia="Aptos Bold" w:hAnsi="Aptos Bold" w:cs="Aptos Bold"/>
                <w:b/>
                <w:bCs/>
                <w:color w:val="000000"/>
              </w:rPr>
              <w:t xml:space="preserve">Unique meeting identifier (name or reference) </w:t>
            </w:r>
          </w:p>
        </w:tc>
        <w:tc>
          <w:tcPr>
            <w:tcW w:w="3060" w:type="dxa"/>
            <w:tcMar>
              <w:top w:w="75" w:type="dxa"/>
              <w:left w:w="75" w:type="dxa"/>
              <w:bottom w:w="75" w:type="dxa"/>
              <w:right w:w="75" w:type="dxa"/>
            </w:tcMar>
            <w:vAlign w:val="center"/>
          </w:tcPr>
          <w:p w14:paraId="47F20428" w14:textId="77777777" w:rsidR="00EF16BC" w:rsidRDefault="006339D8" w:rsidP="007F2D78">
            <w:pPr>
              <w:spacing w:before="120" w:after="120" w:line="276" w:lineRule="auto"/>
            </w:pPr>
            <w:r>
              <w:rPr>
                <w:rFonts w:ascii="Aptos" w:eastAsia="Aptos" w:hAnsi="Aptos" w:cs="Aptos"/>
                <w:color w:val="000000"/>
              </w:rPr>
              <w:t xml:space="preserve">Prevents duplicates and gaps </w:t>
            </w:r>
          </w:p>
        </w:tc>
        <w:tc>
          <w:tcPr>
            <w:tcW w:w="3510" w:type="dxa"/>
            <w:tcMar>
              <w:top w:w="75" w:type="dxa"/>
              <w:left w:w="75" w:type="dxa"/>
              <w:bottom w:w="75" w:type="dxa"/>
              <w:right w:w="75" w:type="dxa"/>
            </w:tcMar>
            <w:vAlign w:val="center"/>
          </w:tcPr>
          <w:p w14:paraId="2A966087" w14:textId="77777777" w:rsidR="00EF16BC" w:rsidRDefault="006339D8" w:rsidP="007F2D78">
            <w:pPr>
              <w:spacing w:before="120" w:after="120" w:line="276" w:lineRule="auto"/>
            </w:pPr>
            <w:r>
              <w:rPr>
                <w:rFonts w:ascii="Aptos" w:eastAsia="Aptos" w:hAnsi="Aptos" w:cs="Aptos"/>
                <w:color w:val="000000"/>
              </w:rPr>
              <w:t xml:space="preserve">Supports accurate counting and reporting </w:t>
            </w:r>
          </w:p>
        </w:tc>
      </w:tr>
      <w:tr w:rsidR="00EF16BC" w14:paraId="459F9ABB" w14:textId="77777777" w:rsidTr="007F2D78">
        <w:tc>
          <w:tcPr>
            <w:tcW w:w="2790" w:type="dxa"/>
            <w:shd w:val="clear" w:color="auto" w:fill="F1EFFC"/>
            <w:tcMar>
              <w:top w:w="75" w:type="dxa"/>
              <w:left w:w="75" w:type="dxa"/>
              <w:bottom w:w="75" w:type="dxa"/>
              <w:right w:w="75" w:type="dxa"/>
            </w:tcMar>
            <w:vAlign w:val="center"/>
          </w:tcPr>
          <w:p w14:paraId="7216EB0D" w14:textId="77777777" w:rsidR="00EF16BC" w:rsidRDefault="006339D8" w:rsidP="007F2D78">
            <w:pPr>
              <w:spacing w:before="120" w:after="120" w:line="276" w:lineRule="auto"/>
            </w:pPr>
            <w:r>
              <w:rPr>
                <w:rFonts w:ascii="Aptos Bold" w:eastAsia="Aptos Bold" w:hAnsi="Aptos Bold" w:cs="Aptos Bold"/>
                <w:b/>
                <w:bCs/>
                <w:color w:val="000000"/>
              </w:rPr>
              <w:t xml:space="preserve">Meeting date </w:t>
            </w:r>
          </w:p>
        </w:tc>
        <w:tc>
          <w:tcPr>
            <w:tcW w:w="3060" w:type="dxa"/>
            <w:tcMar>
              <w:top w:w="75" w:type="dxa"/>
              <w:left w:w="75" w:type="dxa"/>
              <w:bottom w:w="75" w:type="dxa"/>
              <w:right w:w="75" w:type="dxa"/>
            </w:tcMar>
            <w:vAlign w:val="center"/>
          </w:tcPr>
          <w:p w14:paraId="744437FF" w14:textId="77777777" w:rsidR="00EF16BC" w:rsidRDefault="006339D8" w:rsidP="007F2D78">
            <w:pPr>
              <w:spacing w:before="120" w:after="120" w:line="276" w:lineRule="auto"/>
            </w:pPr>
            <w:r>
              <w:rPr>
                <w:rFonts w:ascii="Aptos" w:eastAsia="Aptos" w:hAnsi="Aptos" w:cs="Aptos"/>
                <w:color w:val="000000"/>
              </w:rPr>
              <w:t xml:space="preserve">Allows reporting by month or quarter </w:t>
            </w:r>
          </w:p>
        </w:tc>
        <w:tc>
          <w:tcPr>
            <w:tcW w:w="3510" w:type="dxa"/>
            <w:tcMar>
              <w:top w:w="75" w:type="dxa"/>
              <w:left w:w="75" w:type="dxa"/>
              <w:bottom w:w="75" w:type="dxa"/>
              <w:right w:w="75" w:type="dxa"/>
            </w:tcMar>
            <w:vAlign w:val="center"/>
          </w:tcPr>
          <w:p w14:paraId="78252F97" w14:textId="28F71BB3" w:rsidR="00EF16BC" w:rsidRDefault="006339D8" w:rsidP="007F2D78">
            <w:pPr>
              <w:spacing w:before="120" w:after="120" w:line="276" w:lineRule="auto"/>
            </w:pPr>
            <w:r>
              <w:rPr>
                <w:rFonts w:ascii="Aptos" w:eastAsia="Aptos" w:hAnsi="Aptos" w:cs="Aptos"/>
                <w:color w:val="000000"/>
              </w:rPr>
              <w:t xml:space="preserve">Used for time-based reporting and future </w:t>
            </w:r>
            <w:r w:rsidR="004640CE">
              <w:rPr>
                <w:rFonts w:ascii="Aptos" w:eastAsia="Aptos" w:hAnsi="Aptos" w:cs="Aptos"/>
                <w:color w:val="000000"/>
              </w:rPr>
              <w:br/>
            </w:r>
            <w:r>
              <w:rPr>
                <w:rFonts w:ascii="Aptos" w:eastAsia="Aptos" w:hAnsi="Aptos" w:cs="Aptos"/>
                <w:color w:val="000000"/>
              </w:rPr>
              <w:t xml:space="preserve">lead-time analysis </w:t>
            </w:r>
          </w:p>
        </w:tc>
      </w:tr>
      <w:tr w:rsidR="00EF16BC" w14:paraId="6D784D80" w14:textId="77777777" w:rsidTr="007F2D78">
        <w:tc>
          <w:tcPr>
            <w:tcW w:w="2790" w:type="dxa"/>
            <w:shd w:val="clear" w:color="auto" w:fill="F1EFFC"/>
            <w:tcMar>
              <w:top w:w="75" w:type="dxa"/>
              <w:left w:w="75" w:type="dxa"/>
              <w:bottom w:w="75" w:type="dxa"/>
              <w:right w:w="75" w:type="dxa"/>
            </w:tcMar>
            <w:vAlign w:val="center"/>
          </w:tcPr>
          <w:p w14:paraId="16FFE0E9" w14:textId="77777777" w:rsidR="00EF16BC" w:rsidRDefault="006339D8" w:rsidP="007F2D78">
            <w:pPr>
              <w:spacing w:before="120" w:after="120" w:line="276" w:lineRule="auto"/>
            </w:pPr>
            <w:r>
              <w:rPr>
                <w:rFonts w:ascii="Aptos Bold" w:eastAsia="Aptos Bold" w:hAnsi="Aptos Bold" w:cs="Aptos Bold"/>
                <w:b/>
                <w:bCs/>
                <w:color w:val="000000"/>
              </w:rPr>
              <w:t xml:space="preserve">Location (on‑site or off‑site) </w:t>
            </w:r>
          </w:p>
        </w:tc>
        <w:tc>
          <w:tcPr>
            <w:tcW w:w="3060" w:type="dxa"/>
            <w:tcMar>
              <w:top w:w="75" w:type="dxa"/>
              <w:left w:w="75" w:type="dxa"/>
              <w:bottom w:w="75" w:type="dxa"/>
              <w:right w:w="75" w:type="dxa"/>
            </w:tcMar>
            <w:vAlign w:val="center"/>
          </w:tcPr>
          <w:p w14:paraId="7164107A" w14:textId="77777777" w:rsidR="00EF16BC" w:rsidRDefault="006339D8" w:rsidP="007F2D78">
            <w:pPr>
              <w:spacing w:before="120" w:after="120" w:line="276" w:lineRule="auto"/>
            </w:pPr>
            <w:r>
              <w:rPr>
                <w:rFonts w:ascii="Aptos" w:eastAsia="Aptos" w:hAnsi="Aptos" w:cs="Aptos"/>
                <w:color w:val="000000"/>
              </w:rPr>
              <w:t xml:space="preserve">Helps distinguish between different types of meetings </w:t>
            </w:r>
          </w:p>
        </w:tc>
        <w:tc>
          <w:tcPr>
            <w:tcW w:w="3510" w:type="dxa"/>
            <w:tcMar>
              <w:top w:w="75" w:type="dxa"/>
              <w:left w:w="75" w:type="dxa"/>
              <w:bottom w:w="75" w:type="dxa"/>
              <w:right w:w="75" w:type="dxa"/>
            </w:tcMar>
            <w:vAlign w:val="center"/>
          </w:tcPr>
          <w:p w14:paraId="26D8FD40" w14:textId="77777777" w:rsidR="00EF16BC" w:rsidRDefault="006339D8" w:rsidP="007F2D78">
            <w:pPr>
              <w:spacing w:before="120" w:after="120" w:line="276" w:lineRule="auto"/>
            </w:pPr>
            <w:r>
              <w:rPr>
                <w:rFonts w:ascii="Aptos" w:eastAsia="Aptos" w:hAnsi="Aptos" w:cs="Aptos"/>
                <w:color w:val="000000"/>
              </w:rPr>
              <w:t xml:space="preserve">Used to understand patterns, cost drivers, and potential risk </w:t>
            </w:r>
          </w:p>
        </w:tc>
      </w:tr>
      <w:tr w:rsidR="00EF16BC" w14:paraId="08A7C67D" w14:textId="77777777" w:rsidTr="007F2D78">
        <w:tc>
          <w:tcPr>
            <w:tcW w:w="2790" w:type="dxa"/>
            <w:shd w:val="clear" w:color="auto" w:fill="F1EFFC"/>
            <w:tcMar>
              <w:top w:w="75" w:type="dxa"/>
              <w:left w:w="75" w:type="dxa"/>
              <w:bottom w:w="75" w:type="dxa"/>
              <w:right w:w="75" w:type="dxa"/>
            </w:tcMar>
            <w:vAlign w:val="center"/>
          </w:tcPr>
          <w:p w14:paraId="3B420BC1" w14:textId="77777777" w:rsidR="00EF16BC" w:rsidRDefault="006339D8" w:rsidP="007F2D78">
            <w:pPr>
              <w:spacing w:before="120" w:after="120" w:line="276" w:lineRule="auto"/>
            </w:pPr>
            <w:r>
              <w:rPr>
                <w:rFonts w:ascii="Aptos Bold" w:eastAsia="Aptos Bold" w:hAnsi="Aptos Bold" w:cs="Aptos Bold"/>
                <w:b/>
                <w:bCs/>
                <w:color w:val="000000"/>
              </w:rPr>
              <w:t xml:space="preserve">Cost of the meeting </w:t>
            </w:r>
          </w:p>
        </w:tc>
        <w:tc>
          <w:tcPr>
            <w:tcW w:w="3060" w:type="dxa"/>
            <w:tcMar>
              <w:top w:w="75" w:type="dxa"/>
              <w:left w:w="75" w:type="dxa"/>
              <w:bottom w:w="75" w:type="dxa"/>
              <w:right w:w="75" w:type="dxa"/>
            </w:tcMar>
            <w:vAlign w:val="center"/>
          </w:tcPr>
          <w:p w14:paraId="6FC9C64C" w14:textId="77777777" w:rsidR="00EF16BC" w:rsidRDefault="006339D8" w:rsidP="007F2D78">
            <w:pPr>
              <w:spacing w:before="120" w:after="120" w:line="276" w:lineRule="auto"/>
            </w:pPr>
            <w:r>
              <w:rPr>
                <w:rFonts w:ascii="Aptos" w:eastAsia="Aptos" w:hAnsi="Aptos" w:cs="Aptos"/>
                <w:color w:val="000000"/>
              </w:rPr>
              <w:t xml:space="preserve">Creates visibility of spend at meeting level </w:t>
            </w:r>
          </w:p>
        </w:tc>
        <w:tc>
          <w:tcPr>
            <w:tcW w:w="3510" w:type="dxa"/>
            <w:tcMar>
              <w:top w:w="75" w:type="dxa"/>
              <w:left w:w="75" w:type="dxa"/>
              <w:bottom w:w="75" w:type="dxa"/>
              <w:right w:w="75" w:type="dxa"/>
            </w:tcMar>
            <w:vAlign w:val="center"/>
          </w:tcPr>
          <w:p w14:paraId="2AC953FC" w14:textId="77777777" w:rsidR="00EF16BC" w:rsidRDefault="006339D8" w:rsidP="007F2D78">
            <w:pPr>
              <w:spacing w:before="120" w:after="120" w:line="276" w:lineRule="auto"/>
            </w:pPr>
            <w:r>
              <w:rPr>
                <w:rFonts w:ascii="Aptos" w:eastAsia="Aptos" w:hAnsi="Aptos" w:cs="Aptos"/>
                <w:color w:val="000000"/>
              </w:rPr>
              <w:t xml:space="preserve">Rolled up to calculate total and average costs </w:t>
            </w:r>
          </w:p>
        </w:tc>
      </w:tr>
      <w:tr w:rsidR="00EF16BC" w14:paraId="70C706DB" w14:textId="77777777" w:rsidTr="007F2D78">
        <w:tc>
          <w:tcPr>
            <w:tcW w:w="2790" w:type="dxa"/>
            <w:shd w:val="clear" w:color="auto" w:fill="F1EFFC"/>
            <w:tcMar>
              <w:top w:w="75" w:type="dxa"/>
              <w:left w:w="75" w:type="dxa"/>
              <w:bottom w:w="75" w:type="dxa"/>
              <w:right w:w="75" w:type="dxa"/>
            </w:tcMar>
            <w:vAlign w:val="center"/>
          </w:tcPr>
          <w:p w14:paraId="27765804" w14:textId="77777777" w:rsidR="00EF16BC" w:rsidRDefault="006339D8" w:rsidP="007F2D78">
            <w:pPr>
              <w:spacing w:before="120" w:after="120" w:line="276" w:lineRule="auto"/>
            </w:pPr>
            <w:r>
              <w:rPr>
                <w:rFonts w:ascii="Aptos Bold" w:eastAsia="Aptos Bold" w:hAnsi="Aptos Bold" w:cs="Aptos Bold"/>
                <w:b/>
                <w:bCs/>
                <w:color w:val="000000"/>
              </w:rPr>
              <w:lastRenderedPageBreak/>
              <w:t xml:space="preserve">Cost breakdown (venue, F&amp;B, accommodation, AV, other) </w:t>
            </w:r>
          </w:p>
        </w:tc>
        <w:tc>
          <w:tcPr>
            <w:tcW w:w="3060" w:type="dxa"/>
            <w:tcMar>
              <w:top w:w="75" w:type="dxa"/>
              <w:left w:w="75" w:type="dxa"/>
              <w:bottom w:w="75" w:type="dxa"/>
              <w:right w:w="75" w:type="dxa"/>
            </w:tcMar>
            <w:vAlign w:val="center"/>
          </w:tcPr>
          <w:p w14:paraId="021B6A8C" w14:textId="77777777" w:rsidR="00EF16BC" w:rsidRDefault="006339D8" w:rsidP="007F2D78">
            <w:pPr>
              <w:spacing w:before="120" w:after="120" w:line="276" w:lineRule="auto"/>
            </w:pPr>
            <w:r>
              <w:rPr>
                <w:rFonts w:ascii="Aptos" w:eastAsia="Aptos" w:hAnsi="Aptos" w:cs="Aptos"/>
                <w:color w:val="000000"/>
              </w:rPr>
              <w:t xml:space="preserve">Ensures full cost visibility </w:t>
            </w:r>
          </w:p>
        </w:tc>
        <w:tc>
          <w:tcPr>
            <w:tcW w:w="3510" w:type="dxa"/>
            <w:tcMar>
              <w:top w:w="75" w:type="dxa"/>
              <w:left w:w="75" w:type="dxa"/>
              <w:bottom w:w="75" w:type="dxa"/>
              <w:right w:w="75" w:type="dxa"/>
            </w:tcMar>
            <w:vAlign w:val="center"/>
          </w:tcPr>
          <w:p w14:paraId="70D32F35" w14:textId="77777777" w:rsidR="00EF16BC" w:rsidRDefault="006339D8" w:rsidP="007F2D78">
            <w:pPr>
              <w:spacing w:before="120" w:after="120" w:line="276" w:lineRule="auto"/>
            </w:pPr>
            <w:r>
              <w:rPr>
                <w:rFonts w:ascii="Aptos" w:eastAsia="Aptos" w:hAnsi="Aptos" w:cs="Aptos"/>
                <w:color w:val="000000"/>
              </w:rPr>
              <w:t xml:space="preserve">Added together to calculate total cost per meeting </w:t>
            </w:r>
          </w:p>
        </w:tc>
      </w:tr>
      <w:tr w:rsidR="00EF16BC" w14:paraId="3D9F892A" w14:textId="77777777" w:rsidTr="007F2D78">
        <w:tc>
          <w:tcPr>
            <w:tcW w:w="2790" w:type="dxa"/>
            <w:shd w:val="clear" w:color="auto" w:fill="F1EFFC"/>
            <w:tcMar>
              <w:top w:w="75" w:type="dxa"/>
              <w:left w:w="75" w:type="dxa"/>
              <w:bottom w:w="75" w:type="dxa"/>
              <w:right w:w="75" w:type="dxa"/>
            </w:tcMar>
            <w:vAlign w:val="center"/>
          </w:tcPr>
          <w:p w14:paraId="1E5EE10B" w14:textId="77777777" w:rsidR="00EF16BC" w:rsidRDefault="006339D8" w:rsidP="007F2D78">
            <w:pPr>
              <w:spacing w:before="120" w:after="120" w:line="276" w:lineRule="auto"/>
            </w:pPr>
            <w:r>
              <w:rPr>
                <w:rFonts w:ascii="Aptos Bold" w:eastAsia="Aptos Bold" w:hAnsi="Aptos Bold" w:cs="Aptos Bold"/>
                <w:b/>
                <w:bCs/>
                <w:color w:val="000000"/>
              </w:rPr>
              <w:t xml:space="preserve">Number of attendees </w:t>
            </w:r>
          </w:p>
        </w:tc>
        <w:tc>
          <w:tcPr>
            <w:tcW w:w="3060" w:type="dxa"/>
            <w:tcMar>
              <w:top w:w="75" w:type="dxa"/>
              <w:left w:w="75" w:type="dxa"/>
              <w:bottom w:w="75" w:type="dxa"/>
              <w:right w:w="75" w:type="dxa"/>
            </w:tcMar>
            <w:vAlign w:val="center"/>
          </w:tcPr>
          <w:p w14:paraId="38EC229C" w14:textId="77777777" w:rsidR="00EF16BC" w:rsidRDefault="006339D8" w:rsidP="007F2D78">
            <w:pPr>
              <w:spacing w:before="120" w:after="120" w:line="276" w:lineRule="auto"/>
            </w:pPr>
            <w:r>
              <w:rPr>
                <w:rFonts w:ascii="Aptos" w:eastAsia="Aptos" w:hAnsi="Aptos" w:cs="Aptos"/>
                <w:color w:val="000000"/>
              </w:rPr>
              <w:t xml:space="preserve">Shows scale and efficiency </w:t>
            </w:r>
          </w:p>
        </w:tc>
        <w:tc>
          <w:tcPr>
            <w:tcW w:w="3510" w:type="dxa"/>
            <w:tcMar>
              <w:top w:w="75" w:type="dxa"/>
              <w:left w:w="75" w:type="dxa"/>
              <w:bottom w:w="75" w:type="dxa"/>
              <w:right w:w="75" w:type="dxa"/>
            </w:tcMar>
            <w:vAlign w:val="center"/>
          </w:tcPr>
          <w:p w14:paraId="55F89CAD" w14:textId="77777777" w:rsidR="00EF16BC" w:rsidRDefault="006339D8" w:rsidP="007F2D78">
            <w:pPr>
              <w:spacing w:before="120" w:after="120" w:line="276" w:lineRule="auto"/>
            </w:pPr>
            <w:r>
              <w:rPr>
                <w:rFonts w:ascii="Aptos" w:eastAsia="Aptos" w:hAnsi="Aptos" w:cs="Aptos"/>
                <w:color w:val="000000"/>
              </w:rPr>
              <w:t xml:space="preserve">Used to calculate average cost per attendee </w:t>
            </w:r>
          </w:p>
        </w:tc>
      </w:tr>
      <w:tr w:rsidR="00EF16BC" w14:paraId="09222316" w14:textId="77777777" w:rsidTr="007F2D78">
        <w:tc>
          <w:tcPr>
            <w:tcW w:w="2790" w:type="dxa"/>
            <w:shd w:val="clear" w:color="auto" w:fill="F1EFFC"/>
            <w:tcMar>
              <w:top w:w="75" w:type="dxa"/>
              <w:left w:w="75" w:type="dxa"/>
              <w:bottom w:w="75" w:type="dxa"/>
              <w:right w:w="75" w:type="dxa"/>
            </w:tcMar>
            <w:vAlign w:val="center"/>
          </w:tcPr>
          <w:p w14:paraId="2C5DF4D0" w14:textId="77777777" w:rsidR="00EF16BC" w:rsidRDefault="006339D8" w:rsidP="007F2D78">
            <w:pPr>
              <w:spacing w:before="120" w:after="120" w:line="276" w:lineRule="auto"/>
            </w:pPr>
            <w:r>
              <w:rPr>
                <w:rFonts w:ascii="Aptos Bold" w:eastAsia="Aptos Bold" w:hAnsi="Aptos Bold" w:cs="Aptos Bold"/>
                <w:b/>
                <w:bCs/>
                <w:color w:val="000000"/>
              </w:rPr>
              <w:t xml:space="preserve">Supplier used (venue, hotel)  </w:t>
            </w:r>
          </w:p>
        </w:tc>
        <w:tc>
          <w:tcPr>
            <w:tcW w:w="3060" w:type="dxa"/>
            <w:tcMar>
              <w:top w:w="75" w:type="dxa"/>
              <w:left w:w="75" w:type="dxa"/>
              <w:bottom w:w="75" w:type="dxa"/>
              <w:right w:w="75" w:type="dxa"/>
            </w:tcMar>
            <w:vAlign w:val="center"/>
          </w:tcPr>
          <w:p w14:paraId="2B85A043" w14:textId="77777777" w:rsidR="00EF16BC" w:rsidRDefault="006339D8" w:rsidP="007F2D78">
            <w:pPr>
              <w:spacing w:before="120" w:after="120" w:line="276" w:lineRule="auto"/>
            </w:pPr>
            <w:r>
              <w:rPr>
                <w:rFonts w:ascii="Aptos" w:eastAsia="Aptos" w:hAnsi="Aptos" w:cs="Aptos"/>
                <w:color w:val="000000"/>
              </w:rPr>
              <w:t xml:space="preserve">Shows where meetings are being sourced </w:t>
            </w:r>
          </w:p>
        </w:tc>
        <w:tc>
          <w:tcPr>
            <w:tcW w:w="3510" w:type="dxa"/>
            <w:tcMar>
              <w:top w:w="75" w:type="dxa"/>
              <w:left w:w="75" w:type="dxa"/>
              <w:bottom w:w="75" w:type="dxa"/>
              <w:right w:w="75" w:type="dxa"/>
            </w:tcMar>
            <w:vAlign w:val="center"/>
          </w:tcPr>
          <w:p w14:paraId="4061F5DE" w14:textId="77777777" w:rsidR="00EF16BC" w:rsidRDefault="006339D8" w:rsidP="007F2D78">
            <w:pPr>
              <w:spacing w:before="120" w:after="120" w:line="276" w:lineRule="auto"/>
            </w:pPr>
            <w:r>
              <w:rPr>
                <w:rFonts w:ascii="Aptos" w:eastAsia="Aptos" w:hAnsi="Aptos" w:cs="Aptos"/>
                <w:color w:val="000000"/>
              </w:rPr>
              <w:t xml:space="preserve">Used to spot patterns, understand supplier usage, and support future supplier strategies </w:t>
            </w:r>
          </w:p>
        </w:tc>
      </w:tr>
    </w:tbl>
    <w:p w14:paraId="7DA8C9DF" w14:textId="77777777" w:rsidR="00EF16BC" w:rsidRDefault="006339D8">
      <w:pPr>
        <w:spacing w:before="120" w:after="120" w:line="336" w:lineRule="auto"/>
      </w:pPr>
      <w:r>
        <w:rPr>
          <w:rFonts w:ascii="Aptos Bold" w:eastAsia="Aptos Bold" w:hAnsi="Aptos Bold" w:cs="Aptos Bold"/>
          <w:b/>
          <w:bCs/>
          <w:color w:val="17A697"/>
        </w:rPr>
        <w:t xml:space="preserve"> </w:t>
      </w:r>
    </w:p>
    <w:p w14:paraId="0993CA39" w14:textId="77777777" w:rsidR="004640CE" w:rsidRDefault="006339D8">
      <w:pPr>
        <w:spacing w:before="120" w:after="120" w:line="336" w:lineRule="auto"/>
        <w:rPr>
          <w:rFonts w:ascii="Aptos" w:eastAsia="Aptos" w:hAnsi="Aptos" w:cs="Aptos"/>
          <w:color w:val="000000"/>
          <w:sz w:val="26"/>
          <w:szCs w:val="26"/>
        </w:rPr>
      </w:pPr>
      <w:r>
        <w:rPr>
          <w:rFonts w:ascii="Aptos Bold" w:eastAsia="Aptos Bold" w:hAnsi="Aptos Bold" w:cs="Aptos Bold"/>
          <w:b/>
          <w:bCs/>
          <w:color w:val="000000"/>
          <w:sz w:val="26"/>
          <w:szCs w:val="26"/>
        </w:rPr>
        <w:t>Where to find the information </w:t>
      </w:r>
      <w:r>
        <w:rPr>
          <w:rFonts w:ascii="Aptos Bold" w:eastAsia="Aptos Bold" w:hAnsi="Aptos Bold" w:cs="Aptos Bold"/>
          <w:b/>
          <w:bCs/>
          <w:color w:val="000000"/>
          <w:sz w:val="26"/>
          <w:szCs w:val="26"/>
        </w:rPr>
        <w:br/>
      </w:r>
      <w:r>
        <w:rPr>
          <w:rFonts w:ascii="Aptos" w:eastAsia="Aptos" w:hAnsi="Aptos" w:cs="Aptos"/>
          <w:color w:val="000000"/>
          <w:sz w:val="26"/>
          <w:szCs w:val="26"/>
        </w:rPr>
        <w:t xml:space="preserve">Many organizations know this information exists somewhere but aren’t always sure where to find it. Rather than waiting for </w:t>
      </w:r>
      <w:r>
        <w:rPr>
          <w:rFonts w:ascii="Aptos" w:eastAsia="Aptos" w:hAnsi="Aptos" w:cs="Aptos"/>
          <w:color w:val="000000"/>
          <w:sz w:val="26"/>
          <w:szCs w:val="26"/>
        </w:rPr>
        <w:t>perfect data, starting with what’s available will build momentum and clearer insight will develop over time.</w:t>
      </w:r>
      <w:r w:rsidR="004640CE">
        <w:rPr>
          <w:rFonts w:ascii="Aptos" w:eastAsia="Aptos" w:hAnsi="Aptos" w:cs="Aptos"/>
          <w:color w:val="000000"/>
          <w:sz w:val="26"/>
          <w:szCs w:val="26"/>
        </w:rPr>
        <w:br/>
      </w:r>
      <w:r w:rsidR="004640CE">
        <w:rPr>
          <w:rFonts w:ascii="Aptos" w:eastAsia="Aptos" w:hAnsi="Aptos" w:cs="Aptos"/>
          <w:color w:val="000000"/>
          <w:sz w:val="26"/>
          <w:szCs w:val="26"/>
        </w:rPr>
        <w:br/>
      </w:r>
      <w:r>
        <w:rPr>
          <w:rFonts w:ascii="Aptos" w:eastAsia="Aptos" w:hAnsi="Aptos" w:cs="Aptos"/>
          <w:color w:val="000000"/>
          <w:sz w:val="26"/>
          <w:szCs w:val="26"/>
        </w:rPr>
        <w:t>Below are some practical starting points for uncovering meetings and event spend. </w:t>
      </w:r>
    </w:p>
    <w:p w14:paraId="1AC78ADA" w14:textId="70124FFF" w:rsidR="00EF16BC" w:rsidRDefault="006339D8">
      <w:pPr>
        <w:spacing w:before="120" w:after="120" w:line="336" w:lineRule="auto"/>
      </w:pPr>
      <w:r>
        <w:rPr>
          <w:rFonts w:ascii="Aptos" w:eastAsia="Aptos" w:hAnsi="Aptos" w:cs="Aptos"/>
          <w:color w:val="000000"/>
          <w:sz w:val="26"/>
          <w:szCs w:val="26"/>
        </w:rPr>
        <w:br/>
        <w:t xml:space="preserve">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9360"/>
      </w:tblGrid>
      <w:tr w:rsidR="004640CE" w14:paraId="7E887934" w14:textId="77777777" w:rsidTr="004640CE">
        <w:trPr>
          <w:trHeight w:val="20"/>
        </w:trPr>
        <w:tc>
          <w:tcPr>
            <w:tcW w:w="9360" w:type="dxa"/>
            <w:shd w:val="clear" w:color="auto" w:fill="F1EFFC"/>
            <w:tcMar>
              <w:top w:w="75" w:type="dxa"/>
              <w:left w:w="75" w:type="dxa"/>
              <w:bottom w:w="75" w:type="dxa"/>
              <w:right w:w="75" w:type="dxa"/>
            </w:tcMar>
            <w:vAlign w:val="center"/>
          </w:tcPr>
          <w:p w14:paraId="58DF0325" w14:textId="039C6D55" w:rsidR="004640CE" w:rsidRDefault="004640CE" w:rsidP="004640CE">
            <w:pPr>
              <w:spacing w:before="120" w:after="120"/>
            </w:pPr>
            <w:r>
              <w:rPr>
                <w:noProof/>
              </w:rPr>
              <w:drawing>
                <wp:inline distT="0" distB="0" distL="0" distR="0" wp14:anchorId="4BEDC621" wp14:editId="62CDC5DF">
                  <wp:extent cx="186055" cy="188410"/>
                  <wp:effectExtent l="0" t="0" r="0" b="0"/>
                  <wp:docPr id="1" name="Drawing 1" descr="1530a178-3378-4dec-8dc8-a118da16b2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30a178-3378-4dec-8dc8-a118da16b2af.png"/>
                          <pic:cNvPicPr>
                            <a:picLocks noChangeAspect="1"/>
                          </pic:cNvPicPr>
                        </pic:nvPicPr>
                        <pic:blipFill>
                          <a:blip r:embed="rId6"/>
                          <a:stretch>
                            <a:fillRect/>
                          </a:stretch>
                        </pic:blipFill>
                        <pic:spPr>
                          <a:xfrm>
                            <a:off x="0" y="0"/>
                            <a:ext cx="186055" cy="188410"/>
                          </a:xfrm>
                          <a:prstGeom prst="rect">
                            <a:avLst/>
                          </a:prstGeom>
                        </pic:spPr>
                      </pic:pic>
                    </a:graphicData>
                  </a:graphic>
                </wp:inline>
              </w:drawing>
            </w:r>
            <w:r>
              <w:rPr>
                <w:rFonts w:ascii="Aptos Bold" w:eastAsia="Aptos Bold" w:hAnsi="Aptos Bold" w:cs="Aptos Bold"/>
                <w:b/>
                <w:bCs/>
                <w:color w:val="17A697"/>
                <w:sz w:val="26"/>
                <w:szCs w:val="26"/>
              </w:rPr>
              <w:t xml:space="preserve">   </w:t>
            </w:r>
            <w:r w:rsidR="007F2D78">
              <w:rPr>
                <w:rFonts w:ascii="Aptos Bold" w:eastAsia="Aptos Bold" w:hAnsi="Aptos Bold" w:cs="Aptos Bold"/>
                <w:b/>
                <w:bCs/>
                <w:color w:val="17A697"/>
                <w:sz w:val="26"/>
                <w:szCs w:val="26"/>
              </w:rPr>
              <w:t>INTERNAL REVIEW</w:t>
            </w:r>
            <w:r>
              <w:rPr>
                <w:rFonts w:ascii="Aptos Bold" w:eastAsia="Aptos Bold" w:hAnsi="Aptos Bold" w:cs="Aptos Bold"/>
                <w:b/>
                <w:bCs/>
                <w:color w:val="17A697"/>
                <w:sz w:val="26"/>
                <w:szCs w:val="26"/>
              </w:rPr>
              <w:t xml:space="preserve"> </w:t>
            </w:r>
          </w:p>
        </w:tc>
      </w:tr>
    </w:tbl>
    <w:p w14:paraId="549ECD21" w14:textId="5A4B5EBC" w:rsidR="00EF16BC" w:rsidRDefault="006339D8">
      <w:pPr>
        <w:spacing w:before="120" w:after="120" w:line="336" w:lineRule="auto"/>
      </w:pPr>
      <w:r>
        <w:rPr>
          <w:rFonts w:ascii="Aptos Bold" w:eastAsia="Aptos Bold" w:hAnsi="Aptos Bold" w:cs="Aptos Bold"/>
          <w:b/>
          <w:bCs/>
          <w:color w:val="000000"/>
          <w:sz w:val="26"/>
          <w:szCs w:val="26"/>
        </w:rPr>
        <w:br/>
        <w:t>Financial Data </w:t>
      </w:r>
      <w:r>
        <w:rPr>
          <w:rFonts w:ascii="Aptos Bold" w:eastAsia="Aptos Bold" w:hAnsi="Aptos Bold" w:cs="Aptos Bold"/>
          <w:b/>
          <w:bCs/>
          <w:color w:val="000000"/>
          <w:sz w:val="26"/>
          <w:szCs w:val="26"/>
        </w:rPr>
        <w:br/>
      </w:r>
      <w:r>
        <w:rPr>
          <w:rFonts w:ascii="Aptos" w:eastAsia="Aptos" w:hAnsi="Aptos" w:cs="Aptos"/>
          <w:color w:val="000000"/>
          <w:sz w:val="26"/>
          <w:szCs w:val="26"/>
        </w:rPr>
        <w:t>Finance teams are often the best starting point for understanding overall spend.  </w:t>
      </w:r>
      <w:r>
        <w:rPr>
          <w:rFonts w:ascii="Aptos" w:eastAsia="Aptos" w:hAnsi="Aptos" w:cs="Aptos"/>
          <w:color w:val="000000"/>
          <w:sz w:val="26"/>
          <w:szCs w:val="26"/>
        </w:rPr>
        <w:br/>
        <w:t xml:space="preserve">Useful sources may include: </w:t>
      </w:r>
    </w:p>
    <w:p w14:paraId="6B3053F6" w14:textId="77777777" w:rsidR="00EF16BC" w:rsidRDefault="006339D8">
      <w:pPr>
        <w:numPr>
          <w:ilvl w:val="0"/>
          <w:numId w:val="2"/>
        </w:numPr>
        <w:spacing w:after="0" w:line="336" w:lineRule="auto"/>
      </w:pPr>
      <w:r>
        <w:rPr>
          <w:rFonts w:ascii="Aptos" w:eastAsia="Aptos" w:hAnsi="Aptos" w:cs="Aptos"/>
          <w:color w:val="000000"/>
          <w:sz w:val="26"/>
          <w:szCs w:val="26"/>
        </w:rPr>
        <w:t xml:space="preserve">Accounts payable records </w:t>
      </w:r>
    </w:p>
    <w:p w14:paraId="3811F090" w14:textId="77777777" w:rsidR="00EF16BC" w:rsidRDefault="006339D8">
      <w:pPr>
        <w:numPr>
          <w:ilvl w:val="0"/>
          <w:numId w:val="2"/>
        </w:numPr>
        <w:spacing w:after="0" w:line="336" w:lineRule="auto"/>
      </w:pPr>
      <w:r>
        <w:rPr>
          <w:rFonts w:ascii="Aptos" w:eastAsia="Aptos" w:hAnsi="Aptos" w:cs="Aptos"/>
          <w:color w:val="000000"/>
          <w:sz w:val="26"/>
          <w:szCs w:val="26"/>
        </w:rPr>
        <w:t xml:space="preserve">Corporate cards or purchasing cards </w:t>
      </w:r>
    </w:p>
    <w:p w14:paraId="2346A93E" w14:textId="77777777" w:rsidR="00EF16BC" w:rsidRDefault="006339D8">
      <w:pPr>
        <w:spacing w:before="120" w:after="120" w:line="336" w:lineRule="auto"/>
      </w:pPr>
      <w:r>
        <w:rPr>
          <w:rFonts w:ascii="Aptos Bold" w:eastAsia="Aptos Bold" w:hAnsi="Aptos Bold" w:cs="Aptos Bold"/>
          <w:b/>
          <w:bCs/>
          <w:color w:val="000000"/>
          <w:sz w:val="26"/>
          <w:szCs w:val="26"/>
        </w:rPr>
        <w:lastRenderedPageBreak/>
        <w:t> </w:t>
      </w:r>
      <w:r>
        <w:rPr>
          <w:rFonts w:ascii="Aptos Bold" w:eastAsia="Aptos Bold" w:hAnsi="Aptos Bold" w:cs="Aptos Bold"/>
          <w:b/>
          <w:bCs/>
          <w:color w:val="000000"/>
          <w:sz w:val="26"/>
          <w:szCs w:val="26"/>
        </w:rPr>
        <w:br/>
        <w:t xml:space="preserve"> When reviewing these sources, look for:  </w:t>
      </w:r>
    </w:p>
    <w:p w14:paraId="6EEEFAFB" w14:textId="77777777" w:rsidR="00E33120" w:rsidRDefault="006339D8" w:rsidP="00E33120">
      <w:pPr>
        <w:numPr>
          <w:ilvl w:val="0"/>
          <w:numId w:val="3"/>
        </w:numPr>
        <w:spacing w:after="0" w:line="336" w:lineRule="auto"/>
      </w:pPr>
      <w:r>
        <w:rPr>
          <w:rFonts w:ascii="Aptos" w:eastAsia="Aptos" w:hAnsi="Aptos" w:cs="Aptos"/>
          <w:color w:val="000000"/>
          <w:sz w:val="26"/>
          <w:szCs w:val="26"/>
        </w:rPr>
        <w:t xml:space="preserve">Travel Spend, Meeting Spend, Management Fees </w:t>
      </w:r>
    </w:p>
    <w:p w14:paraId="2DD7BC51" w14:textId="4A63BA4D" w:rsidR="00EF16BC" w:rsidRDefault="006339D8" w:rsidP="00E33120">
      <w:pPr>
        <w:spacing w:after="0" w:line="336" w:lineRule="auto"/>
      </w:pPr>
      <w:r w:rsidRPr="00E33120">
        <w:rPr>
          <w:rFonts w:ascii="Aptos Bold" w:eastAsia="Aptos Bold" w:hAnsi="Aptos Bold" w:cs="Aptos Bold"/>
          <w:b/>
          <w:bCs/>
          <w:color w:val="000000"/>
          <w:sz w:val="26"/>
          <w:szCs w:val="26"/>
        </w:rPr>
        <w:br/>
        <w:t>Common suppliers to look for include: </w:t>
      </w:r>
      <w:r w:rsidRPr="00E33120">
        <w:rPr>
          <w:rFonts w:ascii="Aptos Bold" w:eastAsia="Aptos Bold" w:hAnsi="Aptos Bold" w:cs="Aptos Bold"/>
          <w:b/>
          <w:bCs/>
          <w:color w:val="000000"/>
          <w:sz w:val="26"/>
          <w:szCs w:val="26"/>
        </w:rPr>
        <w:br/>
      </w:r>
      <w:r w:rsidRPr="00E33120">
        <w:rPr>
          <w:rFonts w:ascii="Aptos" w:eastAsia="Aptos" w:hAnsi="Aptos" w:cs="Aptos"/>
          <w:color w:val="000000"/>
          <w:sz w:val="26"/>
          <w:szCs w:val="26"/>
        </w:rPr>
        <w:t>Hotels, Meeting Management Companies, Restaurants, Venues, AV, Production, Ground Transportation, Destination Management Companies  </w:t>
      </w:r>
      <w:r w:rsidRPr="00E33120">
        <w:rPr>
          <w:rFonts w:ascii="Aptos" w:eastAsia="Aptos" w:hAnsi="Aptos" w:cs="Aptos"/>
          <w:color w:val="000000"/>
          <w:sz w:val="26"/>
          <w:szCs w:val="26"/>
        </w:rPr>
        <w:br/>
        <w:t xml:space="preserve">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9360"/>
      </w:tblGrid>
      <w:tr w:rsidR="004640CE" w14:paraId="647A40E9" w14:textId="77777777" w:rsidTr="004640CE">
        <w:tc>
          <w:tcPr>
            <w:tcW w:w="9360" w:type="dxa"/>
            <w:shd w:val="clear" w:color="auto" w:fill="F1EFFC"/>
            <w:tcMar>
              <w:top w:w="75" w:type="dxa"/>
              <w:left w:w="75" w:type="dxa"/>
              <w:bottom w:w="75" w:type="dxa"/>
              <w:right w:w="75" w:type="dxa"/>
            </w:tcMar>
          </w:tcPr>
          <w:p w14:paraId="2281B144" w14:textId="5C61AB50" w:rsidR="004640CE" w:rsidRDefault="004640CE" w:rsidP="004640CE">
            <w:pPr>
              <w:spacing w:before="120" w:after="120"/>
            </w:pPr>
            <w:r>
              <w:rPr>
                <w:noProof/>
              </w:rPr>
              <w:drawing>
                <wp:inline distT="0" distB="0" distL="0" distR="0" wp14:anchorId="7747CFD3" wp14:editId="18FCBBD4">
                  <wp:extent cx="186055" cy="188410"/>
                  <wp:effectExtent l="0" t="0" r="0" b="0"/>
                  <wp:docPr id="2" name="Drawing 2" descr="1530a178-3378-4dec-8dc8-a118da16b2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30a178-3378-4dec-8dc8-a118da16b2af.png"/>
                          <pic:cNvPicPr>
                            <a:picLocks noChangeAspect="1"/>
                          </pic:cNvPicPr>
                        </pic:nvPicPr>
                        <pic:blipFill>
                          <a:blip r:embed="rId6"/>
                          <a:stretch>
                            <a:fillRect/>
                          </a:stretch>
                        </pic:blipFill>
                        <pic:spPr>
                          <a:xfrm>
                            <a:off x="0" y="0"/>
                            <a:ext cx="186055" cy="188410"/>
                          </a:xfrm>
                          <a:prstGeom prst="rect">
                            <a:avLst/>
                          </a:prstGeom>
                        </pic:spPr>
                      </pic:pic>
                    </a:graphicData>
                  </a:graphic>
                </wp:inline>
              </w:drawing>
            </w:r>
            <w:r>
              <w:rPr>
                <w:rFonts w:ascii="Aptos Bold" w:eastAsia="Aptos Bold" w:hAnsi="Aptos Bold" w:cs="Aptos Bold"/>
                <w:b/>
                <w:bCs/>
                <w:color w:val="17A697"/>
                <w:sz w:val="26"/>
                <w:szCs w:val="26"/>
              </w:rPr>
              <w:t xml:space="preserve">   </w:t>
            </w:r>
            <w:r w:rsidR="007F2D78">
              <w:rPr>
                <w:rFonts w:ascii="Aptos Bold" w:eastAsia="Aptos Bold" w:hAnsi="Aptos Bold" w:cs="Aptos Bold"/>
                <w:b/>
                <w:bCs/>
                <w:color w:val="17A697"/>
                <w:sz w:val="26"/>
                <w:szCs w:val="26"/>
              </w:rPr>
              <w:t>INTERNAL SURVEY</w:t>
            </w:r>
            <w:r>
              <w:rPr>
                <w:rFonts w:ascii="Aptos Bold" w:eastAsia="Aptos Bold" w:hAnsi="Aptos Bold" w:cs="Aptos Bold"/>
                <w:b/>
                <w:bCs/>
                <w:color w:val="17A697"/>
                <w:sz w:val="26"/>
                <w:szCs w:val="26"/>
              </w:rPr>
              <w:t xml:space="preserve"> </w:t>
            </w:r>
          </w:p>
        </w:tc>
      </w:tr>
    </w:tbl>
    <w:p w14:paraId="41192839" w14:textId="77777777" w:rsidR="00EF16BC" w:rsidRDefault="006339D8">
      <w:pPr>
        <w:spacing w:before="120" w:after="120" w:line="336" w:lineRule="auto"/>
      </w:pPr>
      <w:r>
        <w:rPr>
          <w:rFonts w:ascii="Aptos" w:eastAsia="Aptos" w:hAnsi="Aptos" w:cs="Aptos"/>
          <w:color w:val="000000"/>
          <w:sz w:val="26"/>
          <w:szCs w:val="26"/>
        </w:rPr>
        <w:t xml:space="preserve">A short internal survey is a practical way to build spend and activity insight, particularly where systems don’t yet exist. </w:t>
      </w:r>
    </w:p>
    <w:p w14:paraId="7D28FD07" w14:textId="77777777" w:rsidR="00EF16BC" w:rsidRDefault="006339D8">
      <w:pPr>
        <w:spacing w:before="120" w:after="120" w:line="336" w:lineRule="auto"/>
      </w:pPr>
      <w:r>
        <w:rPr>
          <w:rFonts w:ascii="Aptos" w:eastAsia="Aptos" w:hAnsi="Aptos" w:cs="Aptos"/>
          <w:color w:val="000000"/>
          <w:sz w:val="26"/>
          <w:szCs w:val="26"/>
        </w:rPr>
        <w:t xml:space="preserve">Use the metrics outlined earlier as a guide and start by sending the survey to teams that regularly arrange meetings and events, such as: </w:t>
      </w:r>
    </w:p>
    <w:p w14:paraId="287FEC15" w14:textId="77777777" w:rsidR="00EF16BC" w:rsidRDefault="006339D8">
      <w:pPr>
        <w:numPr>
          <w:ilvl w:val="0"/>
          <w:numId w:val="4"/>
        </w:numPr>
        <w:spacing w:after="0" w:line="336" w:lineRule="auto"/>
      </w:pPr>
      <w:r>
        <w:rPr>
          <w:rFonts w:ascii="Aptos" w:eastAsia="Aptos" w:hAnsi="Aptos" w:cs="Aptos"/>
          <w:color w:val="000000"/>
          <w:sz w:val="26"/>
          <w:szCs w:val="26"/>
        </w:rPr>
        <w:t xml:space="preserve">Sales </w:t>
      </w:r>
    </w:p>
    <w:p w14:paraId="4E90A2BE" w14:textId="77777777" w:rsidR="00EF16BC" w:rsidRDefault="006339D8">
      <w:pPr>
        <w:numPr>
          <w:ilvl w:val="0"/>
          <w:numId w:val="4"/>
        </w:numPr>
        <w:spacing w:after="0" w:line="336" w:lineRule="auto"/>
      </w:pPr>
      <w:r>
        <w:rPr>
          <w:rFonts w:ascii="Aptos" w:eastAsia="Aptos" w:hAnsi="Aptos" w:cs="Aptos"/>
          <w:color w:val="000000"/>
          <w:sz w:val="26"/>
          <w:szCs w:val="26"/>
        </w:rPr>
        <w:t xml:space="preserve">Marketing </w:t>
      </w:r>
    </w:p>
    <w:p w14:paraId="1DC026F2" w14:textId="77777777" w:rsidR="00EF16BC" w:rsidRDefault="006339D8">
      <w:pPr>
        <w:numPr>
          <w:ilvl w:val="0"/>
          <w:numId w:val="4"/>
        </w:numPr>
        <w:spacing w:after="0" w:line="336" w:lineRule="auto"/>
      </w:pPr>
      <w:r>
        <w:rPr>
          <w:rFonts w:ascii="Aptos" w:eastAsia="Aptos" w:hAnsi="Aptos" w:cs="Aptos"/>
          <w:color w:val="000000"/>
          <w:sz w:val="26"/>
          <w:szCs w:val="26"/>
        </w:rPr>
        <w:t xml:space="preserve">HR </w:t>
      </w:r>
    </w:p>
    <w:p w14:paraId="6FA2D62C" w14:textId="77777777" w:rsidR="00EF16BC" w:rsidRDefault="006339D8">
      <w:pPr>
        <w:numPr>
          <w:ilvl w:val="0"/>
          <w:numId w:val="4"/>
        </w:numPr>
        <w:spacing w:after="0" w:line="336" w:lineRule="auto"/>
      </w:pPr>
      <w:r>
        <w:rPr>
          <w:rFonts w:ascii="Aptos" w:eastAsia="Aptos" w:hAnsi="Aptos" w:cs="Aptos"/>
          <w:color w:val="000000"/>
          <w:sz w:val="26"/>
          <w:szCs w:val="26"/>
        </w:rPr>
        <w:t>Executive assistants or office teams </w:t>
      </w:r>
      <w:r>
        <w:rPr>
          <w:rFonts w:ascii="Aptos" w:eastAsia="Aptos" w:hAnsi="Aptos" w:cs="Aptos"/>
          <w:color w:val="000000"/>
          <w:sz w:val="26"/>
          <w:szCs w:val="26"/>
        </w:rPr>
        <w:br/>
        <w:t xml:space="preserve">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9360"/>
      </w:tblGrid>
      <w:tr w:rsidR="00DB6CE3" w14:paraId="4CDF23FE" w14:textId="77777777" w:rsidTr="00DB6CE3">
        <w:tc>
          <w:tcPr>
            <w:tcW w:w="9360" w:type="dxa"/>
            <w:shd w:val="clear" w:color="auto" w:fill="F1EFFC"/>
            <w:tcMar>
              <w:top w:w="75" w:type="dxa"/>
              <w:left w:w="75" w:type="dxa"/>
              <w:bottom w:w="75" w:type="dxa"/>
              <w:right w:w="75" w:type="dxa"/>
            </w:tcMar>
            <w:vAlign w:val="center"/>
          </w:tcPr>
          <w:p w14:paraId="72C363F8" w14:textId="58BAB925" w:rsidR="00DB6CE3" w:rsidRDefault="00DB6CE3" w:rsidP="00DB6CE3">
            <w:pPr>
              <w:spacing w:before="120" w:after="120"/>
            </w:pPr>
            <w:r>
              <w:rPr>
                <w:noProof/>
              </w:rPr>
              <w:drawing>
                <wp:inline distT="0" distB="0" distL="0" distR="0" wp14:anchorId="32BE7654" wp14:editId="4FCE44D7">
                  <wp:extent cx="186055" cy="188410"/>
                  <wp:effectExtent l="0" t="0" r="0" b="0"/>
                  <wp:docPr id="3" name="Drawing 3" descr="1530a178-3378-4dec-8dc8-a118da16b2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30a178-3378-4dec-8dc8-a118da16b2af.png"/>
                          <pic:cNvPicPr>
                            <a:picLocks noChangeAspect="1"/>
                          </pic:cNvPicPr>
                        </pic:nvPicPr>
                        <pic:blipFill>
                          <a:blip r:embed="rId6"/>
                          <a:stretch>
                            <a:fillRect/>
                          </a:stretch>
                        </pic:blipFill>
                        <pic:spPr>
                          <a:xfrm>
                            <a:off x="0" y="0"/>
                            <a:ext cx="186055" cy="188410"/>
                          </a:xfrm>
                          <a:prstGeom prst="rect">
                            <a:avLst/>
                          </a:prstGeom>
                        </pic:spPr>
                      </pic:pic>
                    </a:graphicData>
                  </a:graphic>
                </wp:inline>
              </w:drawing>
            </w:r>
            <w:r>
              <w:rPr>
                <w:rFonts w:ascii="Aptos Bold" w:eastAsia="Aptos Bold" w:hAnsi="Aptos Bold" w:cs="Aptos Bold"/>
                <w:b/>
                <w:bCs/>
                <w:color w:val="17A697"/>
                <w:sz w:val="26"/>
                <w:szCs w:val="26"/>
              </w:rPr>
              <w:t xml:space="preserve">   </w:t>
            </w:r>
            <w:r w:rsidR="007F2D78">
              <w:rPr>
                <w:rFonts w:ascii="Aptos Bold" w:eastAsia="Aptos Bold" w:hAnsi="Aptos Bold" w:cs="Aptos Bold"/>
                <w:b/>
                <w:bCs/>
                <w:color w:val="17A697"/>
                <w:sz w:val="26"/>
                <w:szCs w:val="26"/>
              </w:rPr>
              <w:t>EXTERNAL BENCHMARKING</w:t>
            </w:r>
            <w:r>
              <w:rPr>
                <w:rFonts w:ascii="Aptos Bold" w:eastAsia="Aptos Bold" w:hAnsi="Aptos Bold" w:cs="Aptos Bold"/>
                <w:b/>
                <w:bCs/>
                <w:color w:val="17A697"/>
                <w:sz w:val="26"/>
                <w:szCs w:val="26"/>
              </w:rPr>
              <w:t xml:space="preserve"> </w:t>
            </w:r>
          </w:p>
        </w:tc>
      </w:tr>
    </w:tbl>
    <w:p w14:paraId="2774ADB4" w14:textId="77777777" w:rsidR="00EF16BC" w:rsidRDefault="006339D8">
      <w:pPr>
        <w:spacing w:before="120" w:after="120" w:line="336" w:lineRule="auto"/>
      </w:pPr>
      <w:r>
        <w:rPr>
          <w:rFonts w:ascii="Aptos" w:eastAsia="Aptos" w:hAnsi="Aptos" w:cs="Aptos"/>
          <w:color w:val="000000"/>
          <w:sz w:val="26"/>
          <w:szCs w:val="26"/>
        </w:rPr>
        <w:t xml:space="preserve">When internal data is limited or incomplete, external benchmarks can provide helpful context as meetings and events spend is often linked to wider travel and business activity. These benchmarks are not designed to replace internal data, but they can support early estimates and help sense‑check assumptions. </w:t>
      </w:r>
    </w:p>
    <w:p w14:paraId="4238917B" w14:textId="77777777" w:rsidR="00EF16BC" w:rsidRDefault="006339D8">
      <w:pPr>
        <w:spacing w:before="120" w:after="120" w:line="336" w:lineRule="auto"/>
      </w:pPr>
      <w:r>
        <w:rPr>
          <w:rFonts w:ascii="Aptos" w:eastAsia="Aptos" w:hAnsi="Aptos" w:cs="Aptos"/>
          <w:color w:val="000000"/>
          <w:sz w:val="26"/>
          <w:szCs w:val="26"/>
        </w:rPr>
        <w:t xml:space="preserve">Use the following industry benchmarks to estimate overall meeting and event spend: </w:t>
      </w:r>
    </w:p>
    <w:p w14:paraId="0F31F347" w14:textId="77777777" w:rsidR="00EF16BC" w:rsidRDefault="006339D8">
      <w:pPr>
        <w:numPr>
          <w:ilvl w:val="0"/>
          <w:numId w:val="5"/>
        </w:numPr>
        <w:spacing w:after="0" w:line="336" w:lineRule="auto"/>
      </w:pPr>
      <w:r>
        <w:rPr>
          <w:rFonts w:ascii="Aptos Bold" w:eastAsia="Aptos Bold" w:hAnsi="Aptos Bold" w:cs="Aptos Bold"/>
          <w:b/>
          <w:bCs/>
          <w:color w:val="000000"/>
          <w:sz w:val="26"/>
          <w:szCs w:val="26"/>
        </w:rPr>
        <w:lastRenderedPageBreak/>
        <w:t>25–35% of total Travel &amp; Expense (T&amp;E) spend</w:t>
      </w:r>
      <w:r>
        <w:rPr>
          <w:rFonts w:ascii="Aptos" w:eastAsia="Aptos" w:hAnsi="Aptos" w:cs="Aptos"/>
          <w:color w:val="000000"/>
          <w:sz w:val="26"/>
          <w:szCs w:val="26"/>
        </w:rPr>
        <w:t xml:space="preserve"> </w:t>
      </w:r>
    </w:p>
    <w:p w14:paraId="0A4EAB3C" w14:textId="77777777" w:rsidR="00EF16BC" w:rsidRDefault="006339D8">
      <w:pPr>
        <w:numPr>
          <w:ilvl w:val="0"/>
          <w:numId w:val="5"/>
        </w:numPr>
        <w:spacing w:after="0" w:line="336" w:lineRule="auto"/>
      </w:pPr>
      <w:r>
        <w:rPr>
          <w:rFonts w:ascii="Aptos Bold" w:eastAsia="Aptos Bold" w:hAnsi="Aptos Bold" w:cs="Aptos Bold"/>
          <w:b/>
          <w:bCs/>
          <w:color w:val="000000"/>
          <w:sz w:val="26"/>
          <w:szCs w:val="26"/>
        </w:rPr>
        <w:t>35–60% of corporate air volume</w:t>
      </w:r>
      <w:r>
        <w:rPr>
          <w:rFonts w:ascii="Aptos" w:eastAsia="Aptos" w:hAnsi="Aptos" w:cs="Aptos"/>
          <w:color w:val="000000"/>
          <w:sz w:val="26"/>
          <w:szCs w:val="26"/>
        </w:rPr>
        <w:t xml:space="preserve"> </w:t>
      </w:r>
    </w:p>
    <w:p w14:paraId="070BD85E" w14:textId="77777777" w:rsidR="00EF16BC" w:rsidRDefault="006339D8">
      <w:pPr>
        <w:numPr>
          <w:ilvl w:val="0"/>
          <w:numId w:val="5"/>
        </w:numPr>
        <w:spacing w:after="0" w:line="336" w:lineRule="auto"/>
      </w:pPr>
      <w:r>
        <w:rPr>
          <w:rFonts w:ascii="Aptos Bold" w:eastAsia="Aptos Bold" w:hAnsi="Aptos Bold" w:cs="Aptos Bold"/>
          <w:b/>
          <w:bCs/>
          <w:color w:val="000000"/>
          <w:sz w:val="26"/>
          <w:szCs w:val="26"/>
        </w:rPr>
        <w:t>1–3% of annual revenue</w:t>
      </w:r>
      <w:r>
        <w:rPr>
          <w:rFonts w:ascii="Aptos Bold" w:eastAsia="Aptos Bold" w:hAnsi="Aptos Bold" w:cs="Aptos Bold"/>
          <w:b/>
          <w:bCs/>
          <w:color w:val="17A697"/>
          <w:sz w:val="26"/>
          <w:szCs w:val="26"/>
        </w:rPr>
        <w:t> </w:t>
      </w:r>
      <w:r>
        <w:rPr>
          <w:rFonts w:ascii="Aptos Bold" w:eastAsia="Aptos Bold" w:hAnsi="Aptos Bold" w:cs="Aptos Bold"/>
          <w:b/>
          <w:bCs/>
          <w:color w:val="17A697"/>
          <w:sz w:val="26"/>
          <w:szCs w:val="26"/>
        </w:rPr>
        <w:br/>
        <w:t xml:space="preserve"> </w:t>
      </w:r>
    </w:p>
    <w:tbl>
      <w:tblPr>
        <w:tblW w:w="9360" w:type="dxa"/>
        <w:tblInd w:w="75" w:type="dxa"/>
        <w:tblBorders>
          <w:top w:val="single" w:sz="6" w:space="0" w:color="211551"/>
          <w:left w:val="single" w:sz="6" w:space="0" w:color="211551"/>
          <w:bottom w:val="single" w:sz="6" w:space="0" w:color="211551"/>
          <w:right w:val="single" w:sz="6" w:space="0" w:color="211551"/>
          <w:insideH w:val="single" w:sz="6" w:space="0" w:color="211551"/>
          <w:insideV w:val="single" w:sz="6" w:space="0" w:color="211551"/>
        </w:tblBorders>
        <w:tblCellMar>
          <w:left w:w="10" w:type="dxa"/>
          <w:right w:w="10" w:type="dxa"/>
        </w:tblCellMar>
        <w:tblLook w:val="04A0" w:firstRow="1" w:lastRow="0" w:firstColumn="1" w:lastColumn="0" w:noHBand="0" w:noVBand="1"/>
      </w:tblPr>
      <w:tblGrid>
        <w:gridCol w:w="9360"/>
      </w:tblGrid>
      <w:tr w:rsidR="00DB6CE3" w14:paraId="29633D92" w14:textId="77777777" w:rsidTr="00DB6CE3">
        <w:tc>
          <w:tcPr>
            <w:tcW w:w="9360" w:type="dxa"/>
            <w:shd w:val="clear" w:color="auto" w:fill="F1EFFC"/>
            <w:tcMar>
              <w:top w:w="75" w:type="dxa"/>
              <w:left w:w="75" w:type="dxa"/>
              <w:bottom w:w="75" w:type="dxa"/>
              <w:right w:w="75" w:type="dxa"/>
            </w:tcMar>
            <w:vAlign w:val="center"/>
          </w:tcPr>
          <w:p w14:paraId="0A02D2F2" w14:textId="50E6861A" w:rsidR="00DB6CE3" w:rsidRDefault="00DB6CE3" w:rsidP="00DB6CE3">
            <w:pPr>
              <w:spacing w:before="120" w:after="120"/>
            </w:pPr>
            <w:r>
              <w:rPr>
                <w:noProof/>
              </w:rPr>
              <w:drawing>
                <wp:inline distT="0" distB="0" distL="0" distR="0" wp14:anchorId="3733BB28" wp14:editId="569FB935">
                  <wp:extent cx="186055" cy="188410"/>
                  <wp:effectExtent l="0" t="0" r="0" b="0"/>
                  <wp:docPr id="4" name="Drawing 4" descr="1530a178-3378-4dec-8dc8-a118da16b2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0a178-3378-4dec-8dc8-a118da16b2af.png"/>
                          <pic:cNvPicPr>
                            <a:picLocks noChangeAspect="1"/>
                          </pic:cNvPicPr>
                        </pic:nvPicPr>
                        <pic:blipFill>
                          <a:blip r:embed="rId6"/>
                          <a:stretch>
                            <a:fillRect/>
                          </a:stretch>
                        </pic:blipFill>
                        <pic:spPr>
                          <a:xfrm>
                            <a:off x="0" y="0"/>
                            <a:ext cx="186055" cy="188410"/>
                          </a:xfrm>
                          <a:prstGeom prst="rect">
                            <a:avLst/>
                          </a:prstGeom>
                        </pic:spPr>
                      </pic:pic>
                    </a:graphicData>
                  </a:graphic>
                </wp:inline>
              </w:drawing>
            </w:r>
            <w:r>
              <w:rPr>
                <w:rFonts w:ascii="Aptos Bold" w:eastAsia="Aptos Bold" w:hAnsi="Aptos Bold" w:cs="Aptos Bold"/>
                <w:b/>
                <w:bCs/>
                <w:color w:val="17A697"/>
                <w:sz w:val="26"/>
                <w:szCs w:val="26"/>
              </w:rPr>
              <w:t xml:space="preserve">    </w:t>
            </w:r>
            <w:r w:rsidR="007F2D78">
              <w:rPr>
                <w:rFonts w:ascii="Aptos Bold" w:eastAsia="Aptos Bold" w:hAnsi="Aptos Bold" w:cs="Aptos Bold"/>
                <w:b/>
                <w:bCs/>
                <w:color w:val="17A697"/>
                <w:sz w:val="26"/>
                <w:szCs w:val="26"/>
              </w:rPr>
              <w:t>WORK WITH A PARTNER</w:t>
            </w:r>
            <w:r>
              <w:rPr>
                <w:rFonts w:ascii="Aptos Bold" w:eastAsia="Aptos Bold" w:hAnsi="Aptos Bold" w:cs="Aptos Bold"/>
                <w:b/>
                <w:bCs/>
                <w:color w:val="17A697"/>
                <w:sz w:val="26"/>
                <w:szCs w:val="26"/>
              </w:rPr>
              <w:t xml:space="preserve"> </w:t>
            </w:r>
          </w:p>
        </w:tc>
      </w:tr>
    </w:tbl>
    <w:p w14:paraId="5F3DD198" w14:textId="534A08A6" w:rsidR="00EF16BC" w:rsidRDefault="006339D8">
      <w:pPr>
        <w:spacing w:before="120" w:after="120" w:line="336" w:lineRule="auto"/>
      </w:pPr>
      <w:r>
        <w:rPr>
          <w:rFonts w:ascii="Aptos" w:eastAsia="Aptos" w:hAnsi="Aptos" w:cs="Aptos"/>
          <w:color w:val="000000"/>
          <w:sz w:val="26"/>
          <w:szCs w:val="26"/>
        </w:rPr>
        <w:t xml:space="preserve">Another option is to work with a strategic partner, such as BCD Meetings </w:t>
      </w:r>
      <w:r w:rsidR="00E33120">
        <w:rPr>
          <w:rFonts w:ascii="Aptos" w:eastAsia="Aptos" w:hAnsi="Aptos" w:cs="Aptos"/>
          <w:color w:val="000000"/>
          <w:sz w:val="26"/>
          <w:szCs w:val="26"/>
        </w:rPr>
        <w:t>&amp;</w:t>
      </w:r>
      <w:r>
        <w:rPr>
          <w:rFonts w:ascii="Aptos" w:eastAsia="Aptos" w:hAnsi="Aptos" w:cs="Aptos"/>
          <w:color w:val="000000"/>
          <w:sz w:val="26"/>
          <w:szCs w:val="26"/>
        </w:rPr>
        <w:t xml:space="preserve"> Events, to help identify and bring together meeting and event spend. Partners that work with this data every day can often uncover essential information more quickly and provide useful benchmarks based on similar organizations.  </w:t>
      </w:r>
    </w:p>
    <w:p w14:paraId="619E9FF7" w14:textId="77777777" w:rsidR="00EF16BC" w:rsidRDefault="006339D8">
      <w:pPr>
        <w:spacing w:before="120" w:after="120" w:line="336" w:lineRule="auto"/>
      </w:pPr>
      <w:r>
        <w:rPr>
          <w:rFonts w:ascii="Aptos Bold" w:eastAsia="Aptos Bold" w:hAnsi="Aptos Bold" w:cs="Aptos Bold"/>
          <w:b/>
          <w:bCs/>
          <w:color w:val="17A697"/>
          <w:sz w:val="26"/>
          <w:szCs w:val="26"/>
        </w:rPr>
        <w:t xml:space="preserve"> </w:t>
      </w:r>
    </w:p>
    <w:p w14:paraId="1D6BA837" w14:textId="77777777" w:rsidR="00EF16BC" w:rsidRDefault="006339D8">
      <w:pPr>
        <w:spacing w:before="120" w:after="120" w:line="336" w:lineRule="auto"/>
      </w:pPr>
      <w:r>
        <w:rPr>
          <w:rFonts w:ascii="Aptos Bold" w:eastAsia="Aptos Bold" w:hAnsi="Aptos Bold" w:cs="Aptos Bold"/>
          <w:b/>
          <w:bCs/>
          <w:color w:val="17A697"/>
          <w:sz w:val="32"/>
          <w:szCs w:val="32"/>
        </w:rPr>
        <w:t>WHAT BECOMES POSSIBLE </w:t>
      </w:r>
      <w:r>
        <w:rPr>
          <w:rFonts w:ascii="Aptos Bold" w:eastAsia="Aptos Bold" w:hAnsi="Aptos Bold" w:cs="Aptos Bold"/>
          <w:b/>
          <w:bCs/>
          <w:color w:val="17A697"/>
          <w:sz w:val="32"/>
          <w:szCs w:val="32"/>
        </w:rPr>
        <w:br/>
      </w:r>
      <w:r>
        <w:rPr>
          <w:rFonts w:ascii="Aptos" w:eastAsia="Aptos" w:hAnsi="Aptos" w:cs="Aptos"/>
          <w:color w:val="000000"/>
        </w:rPr>
        <w:t xml:space="preserve">Once you have the basics in place, there is a much wider range of meeting and event data you can choose to track. As this data builds, it can help organizations create efficiencies, reduce risk, and support more confident, informed decision‑making. </w:t>
      </w:r>
    </w:p>
    <w:p w14:paraId="46210585" w14:textId="77777777" w:rsidR="00EF16BC" w:rsidRDefault="006339D8">
      <w:pPr>
        <w:spacing w:before="120" w:after="120" w:line="336" w:lineRule="auto"/>
      </w:pPr>
      <w:r>
        <w:rPr>
          <w:rFonts w:ascii="Aptos" w:eastAsia="Aptos" w:hAnsi="Aptos" w:cs="Aptos"/>
          <w:color w:val="17A697"/>
        </w:rPr>
        <w:t xml:space="preserve"> </w:t>
      </w:r>
    </w:p>
    <w:p w14:paraId="7BDD9A5A" w14:textId="77777777" w:rsidR="00EF16BC" w:rsidRDefault="006339D8">
      <w:pPr>
        <w:spacing w:before="120" w:after="120"/>
        <w:jc w:val="center"/>
      </w:pPr>
      <w:r>
        <w:rPr>
          <w:noProof/>
        </w:rPr>
        <w:drawing>
          <wp:inline distT="0" distB="0" distL="0" distR="0" wp14:anchorId="489111A0" wp14:editId="005E0C22">
            <wp:extent cx="5943600" cy="1436914"/>
            <wp:effectExtent l="0" t="0" r="0" b="0"/>
            <wp:docPr id="5" name="Drawing 5" descr="161e2290f-d064-47e0-beaa-997253e096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61e2290f-d064-47e0-beaa-997253e096f5.png"/>
                    <pic:cNvPicPr>
                      <a:picLocks noChangeAspect="1"/>
                    </pic:cNvPicPr>
                  </pic:nvPicPr>
                  <pic:blipFill>
                    <a:blip r:embed="rId7"/>
                    <a:stretch>
                      <a:fillRect/>
                    </a:stretch>
                  </pic:blipFill>
                  <pic:spPr>
                    <a:xfrm>
                      <a:off x="0" y="0"/>
                      <a:ext cx="5943600" cy="1436914"/>
                    </a:xfrm>
                    <a:prstGeom prst="rect">
                      <a:avLst/>
                    </a:prstGeom>
                  </pic:spPr>
                </pic:pic>
              </a:graphicData>
            </a:graphic>
          </wp:inline>
        </w:drawing>
      </w:r>
    </w:p>
    <w:p w14:paraId="7F776321" w14:textId="77777777" w:rsidR="00EF16BC" w:rsidRDefault="006339D8">
      <w:pPr>
        <w:spacing w:before="120" w:after="120" w:line="336" w:lineRule="auto"/>
      </w:pPr>
      <w:r>
        <w:rPr>
          <w:rFonts w:ascii="Aptos" w:eastAsia="Aptos" w:hAnsi="Aptos" w:cs="Aptos"/>
          <w:color w:val="000000"/>
        </w:rPr>
        <w:t xml:space="preserve"> </w:t>
      </w:r>
    </w:p>
    <w:sectPr w:rsidR="00EF16BC">
      <w:pgSz w:w="12240" w:h="1581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embedRegular r:id="rId1" w:fontKey="{37ECB805-AEA1-47F6-9F1A-A95D6CD0CDB4}"/>
  </w:font>
  <w:font w:name="DM Sans">
    <w:charset w:val="00"/>
    <w:family w:val="auto"/>
    <w:pitch w:val="variable"/>
    <w:sig w:usb0="8000002F" w:usb1="5000205B" w:usb2="00000000" w:usb3="00000000" w:csb0="00000093" w:csb1="00000000"/>
    <w:embedRegular r:id="rId2" w:fontKey="{DEDF7A14-8F7F-4D89-BACD-1FAF8FB4D470}"/>
  </w:font>
  <w:font w:name="Aptos Bold">
    <w:altName w:val="Aptos"/>
    <w:charset w:val="00"/>
    <w:family w:val="auto"/>
    <w:pitch w:val="default"/>
  </w:font>
  <w:font w:name="Aptos Display">
    <w:charset w:val="00"/>
    <w:family w:val="swiss"/>
    <w:pitch w:val="variable"/>
    <w:sig w:usb0="20000287" w:usb1="00000003" w:usb2="00000000" w:usb3="00000000" w:csb0="0000019F" w:csb1="00000000"/>
    <w:embedRegular r:id="rId3" w:fontKey="{8D7B61B7-1BA7-49C3-9543-9BF84F5B573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D6C"/>
    <w:multiLevelType w:val="hybridMultilevel"/>
    <w:tmpl w:val="8F30C1AA"/>
    <w:lvl w:ilvl="0" w:tplc="0F324C46">
      <w:start w:val="1"/>
      <w:numFmt w:val="bullet"/>
      <w:lvlText w:val=""/>
      <w:lvlJc w:val="left"/>
      <w:pPr>
        <w:ind w:left="400" w:hanging="360"/>
      </w:pPr>
      <w:rPr>
        <w:rFonts w:ascii="Symbol" w:hAnsi="Symbol"/>
      </w:rPr>
    </w:lvl>
    <w:lvl w:ilvl="1" w:tplc="744870B0">
      <w:start w:val="1"/>
      <w:numFmt w:val="bullet"/>
      <w:lvlText w:val="o"/>
      <w:lvlJc w:val="left"/>
      <w:pPr>
        <w:ind w:left="800" w:hanging="360"/>
      </w:pPr>
      <w:rPr>
        <w:rFonts w:ascii="Courier New" w:hAnsi="Courier New"/>
      </w:rPr>
    </w:lvl>
    <w:lvl w:ilvl="2" w:tplc="7AB4CF6C">
      <w:start w:val="1"/>
      <w:numFmt w:val="bullet"/>
      <w:lvlText w:val=""/>
      <w:lvlJc w:val="left"/>
      <w:pPr>
        <w:ind w:left="1200" w:hanging="360"/>
      </w:pPr>
      <w:rPr>
        <w:rFonts w:ascii="Wingdings" w:hAnsi="Wingdings"/>
      </w:rPr>
    </w:lvl>
    <w:lvl w:ilvl="3" w:tplc="0F441DA2">
      <w:start w:val="1"/>
      <w:numFmt w:val="bullet"/>
      <w:lvlText w:val=""/>
      <w:lvlJc w:val="left"/>
      <w:pPr>
        <w:ind w:left="1600" w:hanging="360"/>
      </w:pPr>
      <w:rPr>
        <w:rFonts w:ascii="Symbol" w:hAnsi="Symbol"/>
      </w:rPr>
    </w:lvl>
    <w:lvl w:ilvl="4" w:tplc="36B07B02">
      <w:start w:val="1"/>
      <w:numFmt w:val="bullet"/>
      <w:lvlText w:val="o"/>
      <w:lvlJc w:val="left"/>
      <w:pPr>
        <w:ind w:left="2000" w:hanging="360"/>
      </w:pPr>
      <w:rPr>
        <w:rFonts w:ascii="Courier New" w:hAnsi="Courier New"/>
      </w:rPr>
    </w:lvl>
    <w:lvl w:ilvl="5" w:tplc="9BE2D900">
      <w:start w:val="1"/>
      <w:numFmt w:val="bullet"/>
      <w:lvlText w:val=""/>
      <w:lvlJc w:val="left"/>
      <w:pPr>
        <w:ind w:left="2400" w:hanging="360"/>
      </w:pPr>
      <w:rPr>
        <w:rFonts w:ascii="Wingdings" w:hAnsi="Wingdings"/>
      </w:rPr>
    </w:lvl>
    <w:lvl w:ilvl="6" w:tplc="7A74147A">
      <w:start w:val="1"/>
      <w:numFmt w:val="bullet"/>
      <w:lvlText w:val=""/>
      <w:lvlJc w:val="left"/>
      <w:pPr>
        <w:ind w:left="2800" w:hanging="360"/>
      </w:pPr>
      <w:rPr>
        <w:rFonts w:ascii="Symbol" w:hAnsi="Symbol"/>
      </w:rPr>
    </w:lvl>
    <w:lvl w:ilvl="7" w:tplc="F650018A">
      <w:start w:val="1"/>
      <w:numFmt w:val="bullet"/>
      <w:lvlText w:val="o"/>
      <w:lvlJc w:val="left"/>
      <w:pPr>
        <w:ind w:left="3200" w:hanging="360"/>
      </w:pPr>
      <w:rPr>
        <w:rFonts w:ascii="Courier New" w:hAnsi="Courier New"/>
      </w:rPr>
    </w:lvl>
    <w:lvl w:ilvl="8" w:tplc="5FD84DE0">
      <w:numFmt w:val="decimal"/>
      <w:lvlText w:val=""/>
      <w:lvlJc w:val="left"/>
    </w:lvl>
  </w:abstractNum>
  <w:abstractNum w:abstractNumId="1" w15:restartNumberingAfterBreak="0">
    <w:nsid w:val="17DD1CA3"/>
    <w:multiLevelType w:val="hybridMultilevel"/>
    <w:tmpl w:val="9986247E"/>
    <w:lvl w:ilvl="0" w:tplc="59F0E7C2">
      <w:start w:val="1"/>
      <w:numFmt w:val="bullet"/>
      <w:lvlText w:val=""/>
      <w:lvlJc w:val="left"/>
      <w:pPr>
        <w:ind w:left="400" w:hanging="360"/>
      </w:pPr>
      <w:rPr>
        <w:rFonts w:ascii="Symbol" w:hAnsi="Symbol"/>
      </w:rPr>
    </w:lvl>
    <w:lvl w:ilvl="1" w:tplc="C2688312">
      <w:start w:val="1"/>
      <w:numFmt w:val="bullet"/>
      <w:lvlText w:val="o"/>
      <w:lvlJc w:val="left"/>
      <w:pPr>
        <w:ind w:left="800" w:hanging="360"/>
      </w:pPr>
      <w:rPr>
        <w:rFonts w:ascii="Courier New" w:hAnsi="Courier New"/>
      </w:rPr>
    </w:lvl>
    <w:lvl w:ilvl="2" w:tplc="E6749D82">
      <w:start w:val="1"/>
      <w:numFmt w:val="bullet"/>
      <w:lvlText w:val=""/>
      <w:lvlJc w:val="left"/>
      <w:pPr>
        <w:ind w:left="1200" w:hanging="360"/>
      </w:pPr>
      <w:rPr>
        <w:rFonts w:ascii="Wingdings" w:hAnsi="Wingdings"/>
      </w:rPr>
    </w:lvl>
    <w:lvl w:ilvl="3" w:tplc="F086E24C">
      <w:start w:val="1"/>
      <w:numFmt w:val="bullet"/>
      <w:lvlText w:val=""/>
      <w:lvlJc w:val="left"/>
      <w:pPr>
        <w:ind w:left="1600" w:hanging="360"/>
      </w:pPr>
      <w:rPr>
        <w:rFonts w:ascii="Symbol" w:hAnsi="Symbol"/>
      </w:rPr>
    </w:lvl>
    <w:lvl w:ilvl="4" w:tplc="2AFA1E40">
      <w:start w:val="1"/>
      <w:numFmt w:val="bullet"/>
      <w:lvlText w:val="o"/>
      <w:lvlJc w:val="left"/>
      <w:pPr>
        <w:ind w:left="2000" w:hanging="360"/>
      </w:pPr>
      <w:rPr>
        <w:rFonts w:ascii="Courier New" w:hAnsi="Courier New"/>
      </w:rPr>
    </w:lvl>
    <w:lvl w:ilvl="5" w:tplc="ED30CBE0">
      <w:start w:val="1"/>
      <w:numFmt w:val="bullet"/>
      <w:lvlText w:val=""/>
      <w:lvlJc w:val="left"/>
      <w:pPr>
        <w:ind w:left="2400" w:hanging="360"/>
      </w:pPr>
      <w:rPr>
        <w:rFonts w:ascii="Wingdings" w:hAnsi="Wingdings"/>
      </w:rPr>
    </w:lvl>
    <w:lvl w:ilvl="6" w:tplc="0CB6F0D0">
      <w:start w:val="1"/>
      <w:numFmt w:val="bullet"/>
      <w:lvlText w:val=""/>
      <w:lvlJc w:val="left"/>
      <w:pPr>
        <w:ind w:left="2800" w:hanging="360"/>
      </w:pPr>
      <w:rPr>
        <w:rFonts w:ascii="Symbol" w:hAnsi="Symbol"/>
      </w:rPr>
    </w:lvl>
    <w:lvl w:ilvl="7" w:tplc="DEFE3E14">
      <w:start w:val="1"/>
      <w:numFmt w:val="bullet"/>
      <w:lvlText w:val="o"/>
      <w:lvlJc w:val="left"/>
      <w:pPr>
        <w:ind w:left="3200" w:hanging="360"/>
      </w:pPr>
      <w:rPr>
        <w:rFonts w:ascii="Courier New" w:hAnsi="Courier New"/>
      </w:rPr>
    </w:lvl>
    <w:lvl w:ilvl="8" w:tplc="EB327928">
      <w:numFmt w:val="decimal"/>
      <w:lvlText w:val=""/>
      <w:lvlJc w:val="left"/>
    </w:lvl>
  </w:abstractNum>
  <w:abstractNum w:abstractNumId="2" w15:restartNumberingAfterBreak="0">
    <w:nsid w:val="2AEB24DE"/>
    <w:multiLevelType w:val="hybridMultilevel"/>
    <w:tmpl w:val="025E44D6"/>
    <w:lvl w:ilvl="0" w:tplc="44446A38">
      <w:start w:val="1"/>
      <w:numFmt w:val="bullet"/>
      <w:lvlText w:val=""/>
      <w:lvlJc w:val="left"/>
      <w:pPr>
        <w:ind w:left="400" w:hanging="360"/>
      </w:pPr>
      <w:rPr>
        <w:rFonts w:ascii="Symbol" w:hAnsi="Symbol"/>
      </w:rPr>
    </w:lvl>
    <w:lvl w:ilvl="1" w:tplc="445036A6">
      <w:start w:val="1"/>
      <w:numFmt w:val="bullet"/>
      <w:lvlText w:val="o"/>
      <w:lvlJc w:val="left"/>
      <w:pPr>
        <w:ind w:left="800" w:hanging="360"/>
      </w:pPr>
      <w:rPr>
        <w:rFonts w:ascii="Courier New" w:hAnsi="Courier New"/>
      </w:rPr>
    </w:lvl>
    <w:lvl w:ilvl="2" w:tplc="DB62FCA6">
      <w:start w:val="1"/>
      <w:numFmt w:val="bullet"/>
      <w:lvlText w:val=""/>
      <w:lvlJc w:val="left"/>
      <w:pPr>
        <w:ind w:left="1200" w:hanging="360"/>
      </w:pPr>
      <w:rPr>
        <w:rFonts w:ascii="Wingdings" w:hAnsi="Wingdings"/>
      </w:rPr>
    </w:lvl>
    <w:lvl w:ilvl="3" w:tplc="026A1D18">
      <w:start w:val="1"/>
      <w:numFmt w:val="bullet"/>
      <w:lvlText w:val=""/>
      <w:lvlJc w:val="left"/>
      <w:pPr>
        <w:ind w:left="1600" w:hanging="360"/>
      </w:pPr>
      <w:rPr>
        <w:rFonts w:ascii="Symbol" w:hAnsi="Symbol"/>
      </w:rPr>
    </w:lvl>
    <w:lvl w:ilvl="4" w:tplc="8C1201DE">
      <w:start w:val="1"/>
      <w:numFmt w:val="bullet"/>
      <w:lvlText w:val="o"/>
      <w:lvlJc w:val="left"/>
      <w:pPr>
        <w:ind w:left="2000" w:hanging="360"/>
      </w:pPr>
      <w:rPr>
        <w:rFonts w:ascii="Courier New" w:hAnsi="Courier New"/>
      </w:rPr>
    </w:lvl>
    <w:lvl w:ilvl="5" w:tplc="FA2C01F6">
      <w:start w:val="1"/>
      <w:numFmt w:val="bullet"/>
      <w:lvlText w:val=""/>
      <w:lvlJc w:val="left"/>
      <w:pPr>
        <w:ind w:left="2400" w:hanging="360"/>
      </w:pPr>
      <w:rPr>
        <w:rFonts w:ascii="Wingdings" w:hAnsi="Wingdings"/>
      </w:rPr>
    </w:lvl>
    <w:lvl w:ilvl="6" w:tplc="9AB6DC88">
      <w:start w:val="1"/>
      <w:numFmt w:val="bullet"/>
      <w:lvlText w:val=""/>
      <w:lvlJc w:val="left"/>
      <w:pPr>
        <w:ind w:left="2800" w:hanging="360"/>
      </w:pPr>
      <w:rPr>
        <w:rFonts w:ascii="Symbol" w:hAnsi="Symbol"/>
      </w:rPr>
    </w:lvl>
    <w:lvl w:ilvl="7" w:tplc="DD9C6254">
      <w:start w:val="1"/>
      <w:numFmt w:val="bullet"/>
      <w:lvlText w:val="o"/>
      <w:lvlJc w:val="left"/>
      <w:pPr>
        <w:ind w:left="3200" w:hanging="360"/>
      </w:pPr>
      <w:rPr>
        <w:rFonts w:ascii="Courier New" w:hAnsi="Courier New"/>
      </w:rPr>
    </w:lvl>
    <w:lvl w:ilvl="8" w:tplc="AB6CE0F8">
      <w:numFmt w:val="decimal"/>
      <w:lvlText w:val=""/>
      <w:lvlJc w:val="left"/>
    </w:lvl>
  </w:abstractNum>
  <w:abstractNum w:abstractNumId="3" w15:restartNumberingAfterBreak="0">
    <w:nsid w:val="5DA54107"/>
    <w:multiLevelType w:val="hybridMultilevel"/>
    <w:tmpl w:val="E0221E12"/>
    <w:lvl w:ilvl="0" w:tplc="EB68AB10">
      <w:start w:val="1"/>
      <w:numFmt w:val="bullet"/>
      <w:lvlText w:val=""/>
      <w:lvlJc w:val="left"/>
      <w:pPr>
        <w:ind w:left="400" w:hanging="360"/>
      </w:pPr>
      <w:rPr>
        <w:rFonts w:ascii="Symbol" w:hAnsi="Symbol"/>
      </w:rPr>
    </w:lvl>
    <w:lvl w:ilvl="1" w:tplc="106C54B8">
      <w:start w:val="1"/>
      <w:numFmt w:val="bullet"/>
      <w:lvlText w:val="o"/>
      <w:lvlJc w:val="left"/>
      <w:pPr>
        <w:ind w:left="800" w:hanging="360"/>
      </w:pPr>
      <w:rPr>
        <w:rFonts w:ascii="Courier New" w:hAnsi="Courier New"/>
      </w:rPr>
    </w:lvl>
    <w:lvl w:ilvl="2" w:tplc="A440BD74">
      <w:start w:val="1"/>
      <w:numFmt w:val="bullet"/>
      <w:lvlText w:val=""/>
      <w:lvlJc w:val="left"/>
      <w:pPr>
        <w:ind w:left="1200" w:hanging="360"/>
      </w:pPr>
      <w:rPr>
        <w:rFonts w:ascii="Wingdings" w:hAnsi="Wingdings"/>
      </w:rPr>
    </w:lvl>
    <w:lvl w:ilvl="3" w:tplc="B7A2368A">
      <w:start w:val="1"/>
      <w:numFmt w:val="bullet"/>
      <w:lvlText w:val=""/>
      <w:lvlJc w:val="left"/>
      <w:pPr>
        <w:ind w:left="1600" w:hanging="360"/>
      </w:pPr>
      <w:rPr>
        <w:rFonts w:ascii="Symbol" w:hAnsi="Symbol"/>
      </w:rPr>
    </w:lvl>
    <w:lvl w:ilvl="4" w:tplc="9342B36E">
      <w:start w:val="1"/>
      <w:numFmt w:val="bullet"/>
      <w:lvlText w:val="o"/>
      <w:lvlJc w:val="left"/>
      <w:pPr>
        <w:ind w:left="2000" w:hanging="360"/>
      </w:pPr>
      <w:rPr>
        <w:rFonts w:ascii="Courier New" w:hAnsi="Courier New"/>
      </w:rPr>
    </w:lvl>
    <w:lvl w:ilvl="5" w:tplc="0890F830">
      <w:start w:val="1"/>
      <w:numFmt w:val="bullet"/>
      <w:lvlText w:val=""/>
      <w:lvlJc w:val="left"/>
      <w:pPr>
        <w:ind w:left="2400" w:hanging="360"/>
      </w:pPr>
      <w:rPr>
        <w:rFonts w:ascii="Wingdings" w:hAnsi="Wingdings"/>
      </w:rPr>
    </w:lvl>
    <w:lvl w:ilvl="6" w:tplc="F794B268">
      <w:start w:val="1"/>
      <w:numFmt w:val="bullet"/>
      <w:lvlText w:val=""/>
      <w:lvlJc w:val="left"/>
      <w:pPr>
        <w:ind w:left="2800" w:hanging="360"/>
      </w:pPr>
      <w:rPr>
        <w:rFonts w:ascii="Symbol" w:hAnsi="Symbol"/>
      </w:rPr>
    </w:lvl>
    <w:lvl w:ilvl="7" w:tplc="DF72B388">
      <w:start w:val="1"/>
      <w:numFmt w:val="bullet"/>
      <w:lvlText w:val="o"/>
      <w:lvlJc w:val="left"/>
      <w:pPr>
        <w:ind w:left="3200" w:hanging="360"/>
      </w:pPr>
      <w:rPr>
        <w:rFonts w:ascii="Courier New" w:hAnsi="Courier New"/>
      </w:rPr>
    </w:lvl>
    <w:lvl w:ilvl="8" w:tplc="204AFC3C">
      <w:numFmt w:val="decimal"/>
      <w:lvlText w:val=""/>
      <w:lvlJc w:val="left"/>
    </w:lvl>
  </w:abstractNum>
  <w:abstractNum w:abstractNumId="4" w15:restartNumberingAfterBreak="0">
    <w:nsid w:val="6BDC2C04"/>
    <w:multiLevelType w:val="hybridMultilevel"/>
    <w:tmpl w:val="C7DA9E3A"/>
    <w:lvl w:ilvl="0" w:tplc="B0B6BD74">
      <w:start w:val="1"/>
      <w:numFmt w:val="bullet"/>
      <w:lvlText w:val=""/>
      <w:lvlJc w:val="left"/>
      <w:pPr>
        <w:ind w:left="400" w:hanging="360"/>
      </w:pPr>
      <w:rPr>
        <w:rFonts w:ascii="Symbol" w:hAnsi="Symbol"/>
      </w:rPr>
    </w:lvl>
    <w:lvl w:ilvl="1" w:tplc="84AE7C54">
      <w:start w:val="1"/>
      <w:numFmt w:val="bullet"/>
      <w:lvlText w:val="o"/>
      <w:lvlJc w:val="left"/>
      <w:pPr>
        <w:ind w:left="800" w:hanging="360"/>
      </w:pPr>
      <w:rPr>
        <w:rFonts w:ascii="Courier New" w:hAnsi="Courier New"/>
      </w:rPr>
    </w:lvl>
    <w:lvl w:ilvl="2" w:tplc="311ED7D2">
      <w:start w:val="1"/>
      <w:numFmt w:val="bullet"/>
      <w:lvlText w:val=""/>
      <w:lvlJc w:val="left"/>
      <w:pPr>
        <w:ind w:left="1200" w:hanging="360"/>
      </w:pPr>
      <w:rPr>
        <w:rFonts w:ascii="Wingdings" w:hAnsi="Wingdings"/>
      </w:rPr>
    </w:lvl>
    <w:lvl w:ilvl="3" w:tplc="1E563A4A">
      <w:start w:val="1"/>
      <w:numFmt w:val="bullet"/>
      <w:lvlText w:val=""/>
      <w:lvlJc w:val="left"/>
      <w:pPr>
        <w:ind w:left="1600" w:hanging="360"/>
      </w:pPr>
      <w:rPr>
        <w:rFonts w:ascii="Symbol" w:hAnsi="Symbol"/>
      </w:rPr>
    </w:lvl>
    <w:lvl w:ilvl="4" w:tplc="9B96684C">
      <w:start w:val="1"/>
      <w:numFmt w:val="bullet"/>
      <w:lvlText w:val="o"/>
      <w:lvlJc w:val="left"/>
      <w:pPr>
        <w:ind w:left="2000" w:hanging="360"/>
      </w:pPr>
      <w:rPr>
        <w:rFonts w:ascii="Courier New" w:hAnsi="Courier New"/>
      </w:rPr>
    </w:lvl>
    <w:lvl w:ilvl="5" w:tplc="B5146576">
      <w:start w:val="1"/>
      <w:numFmt w:val="bullet"/>
      <w:lvlText w:val=""/>
      <w:lvlJc w:val="left"/>
      <w:pPr>
        <w:ind w:left="2400" w:hanging="360"/>
      </w:pPr>
      <w:rPr>
        <w:rFonts w:ascii="Wingdings" w:hAnsi="Wingdings"/>
      </w:rPr>
    </w:lvl>
    <w:lvl w:ilvl="6" w:tplc="EDA0A82A">
      <w:start w:val="1"/>
      <w:numFmt w:val="bullet"/>
      <w:lvlText w:val=""/>
      <w:lvlJc w:val="left"/>
      <w:pPr>
        <w:ind w:left="2800" w:hanging="360"/>
      </w:pPr>
      <w:rPr>
        <w:rFonts w:ascii="Symbol" w:hAnsi="Symbol"/>
      </w:rPr>
    </w:lvl>
    <w:lvl w:ilvl="7" w:tplc="BDE21464">
      <w:start w:val="1"/>
      <w:numFmt w:val="bullet"/>
      <w:lvlText w:val="o"/>
      <w:lvlJc w:val="left"/>
      <w:pPr>
        <w:ind w:left="3200" w:hanging="360"/>
      </w:pPr>
      <w:rPr>
        <w:rFonts w:ascii="Courier New" w:hAnsi="Courier New"/>
      </w:rPr>
    </w:lvl>
    <w:lvl w:ilvl="8" w:tplc="8C4A8050">
      <w:numFmt w:val="decimal"/>
      <w:lvlText w:val=""/>
      <w:lvlJc w:val="left"/>
    </w:lvl>
  </w:abstractNum>
  <w:num w:numId="1" w16cid:durableId="854999578">
    <w:abstractNumId w:val="3"/>
  </w:num>
  <w:num w:numId="2" w16cid:durableId="605577092">
    <w:abstractNumId w:val="4"/>
  </w:num>
  <w:num w:numId="3" w16cid:durableId="1699044206">
    <w:abstractNumId w:val="2"/>
  </w:num>
  <w:num w:numId="4" w16cid:durableId="685600454">
    <w:abstractNumId w:val="0"/>
  </w:num>
  <w:num w:numId="5" w16cid:durableId="60982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BC"/>
    <w:rsid w:val="00073DD7"/>
    <w:rsid w:val="00393C31"/>
    <w:rsid w:val="004640CE"/>
    <w:rsid w:val="006339D8"/>
    <w:rsid w:val="006C57A5"/>
    <w:rsid w:val="007F2D78"/>
    <w:rsid w:val="00823BE7"/>
    <w:rsid w:val="009E4A1A"/>
    <w:rsid w:val="00DB6CE3"/>
    <w:rsid w:val="00E33120"/>
    <w:rsid w:val="00E95422"/>
    <w:rsid w:val="00EF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BA80"/>
  <w15:docId w15:val="{DA2BE608-9DE2-BC4A-AAC1-19863B2D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4893c79-056d-44f5-9e05-582500cb3434}" enabled="1" method="Standard" siteId="{cdb191c8-fc03-4343-aead-2808b21fd51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Lead Magnet | Key Meetings and Events Metrics: Where to Start</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Magnet | Key Meetings and Events Metrics: Where to Start</dc:title>
  <dc:creator>Apache POI</dc:creator>
  <cp:lastModifiedBy>Thomas Newcombe (GB)</cp:lastModifiedBy>
  <cp:revision>2</cp:revision>
  <dcterms:created xsi:type="dcterms:W3CDTF">2026-03-23T09:52:00Z</dcterms:created>
  <dcterms:modified xsi:type="dcterms:W3CDTF">2026-03-23T09:52:00Z</dcterms:modified>
</cp:coreProperties>
</file>