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7585" w14:textId="77777777" w:rsidR="00336D9D" w:rsidRPr="00EF0E1C" w:rsidRDefault="00943DAA">
      <w:pPr>
        <w:spacing w:before="120" w:after="120"/>
        <w:jc w:val="center"/>
        <w:rPr>
          <w:rFonts w:ascii="Aptos" w:hAnsi="Aptos"/>
        </w:rPr>
      </w:pPr>
      <w:r w:rsidRPr="00EF0E1C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4A57A37E" wp14:editId="1F27FFA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894494"/>
            <wp:effectExtent l="0" t="0" r="0" b="0"/>
            <wp:wrapTopAndBottom/>
            <wp:docPr id="968390277" name="Drawing 0" descr="17671c3da-e3ef-499a-a82d-5b5af63526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671c3da-e3ef-499a-a82d-5b5af63526ce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89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B336D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DM Sans" w:hAnsi="Aptos" w:cs="DM Sans"/>
          <w:color w:val="404040"/>
        </w:rPr>
        <w:t xml:space="preserve"> </w:t>
      </w: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336D9D" w:rsidRPr="00EF0E1C" w14:paraId="1E6646A5" w14:textId="77777777">
        <w:tc>
          <w:tcPr>
            <w:tcW w:w="9030" w:type="dxa"/>
            <w:shd w:val="clear" w:color="auto" w:fill="F1EFF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20BAB6" w14:textId="77777777" w:rsidR="00336D9D" w:rsidRPr="00EF0E1C" w:rsidRDefault="00943DAA">
            <w:pPr>
              <w:spacing w:before="120" w:after="120" w:line="335" w:lineRule="auto"/>
              <w:rPr>
                <w:rFonts w:ascii="Aptos" w:hAnsi="Aptos"/>
              </w:rPr>
            </w:pPr>
            <w:r w:rsidRPr="00EF0E1C">
              <w:rPr>
                <w:rFonts w:ascii="Aptos" w:eastAsia="Aptos Italics" w:hAnsi="Aptos" w:cs="Aptos Italics"/>
                <w:i/>
                <w:iCs/>
                <w:color w:val="000000"/>
                <w:sz w:val="28"/>
                <w:szCs w:val="28"/>
              </w:rPr>
              <w:t>A simple framework for organizations building a structured meetings program</w:t>
            </w:r>
            <w:r w:rsidRPr="00EF0E1C">
              <w:rPr>
                <w:rFonts w:ascii="Aptos" w:eastAsia="Aptos" w:hAnsi="Aptos" w:cs="Aptos"/>
                <w:color w:val="000000"/>
                <w:sz w:val="28"/>
                <w:szCs w:val="28"/>
              </w:rPr>
              <w:t xml:space="preserve"> </w:t>
            </w:r>
          </w:p>
          <w:p w14:paraId="0C559CBB" w14:textId="77777777" w:rsidR="00B7002F" w:rsidRPr="00EF0E1C" w:rsidRDefault="00B7002F">
            <w:pPr>
              <w:spacing w:before="120" w:after="120" w:line="335" w:lineRule="auto"/>
              <w:rPr>
                <w:rFonts w:ascii="Aptos" w:eastAsia="Aptos" w:hAnsi="Aptos" w:cs="Aptos"/>
                <w:color w:val="000000"/>
                <w:sz w:val="11"/>
                <w:szCs w:val="11"/>
              </w:rPr>
            </w:pPr>
          </w:p>
          <w:p w14:paraId="2088A6D6" w14:textId="0A283745" w:rsidR="00B7002F" w:rsidRPr="00EF0E1C" w:rsidRDefault="00943DAA">
            <w:pPr>
              <w:spacing w:before="120" w:after="120" w:line="335" w:lineRule="auto"/>
              <w:rPr>
                <w:rFonts w:ascii="Aptos" w:eastAsia="Aptos" w:hAnsi="Aptos" w:cs="Aptos"/>
                <w:color w:val="000000"/>
                <w:sz w:val="28"/>
                <w:szCs w:val="28"/>
              </w:rPr>
            </w:pPr>
            <w:r w:rsidRPr="00EF0E1C">
              <w:rPr>
                <w:rFonts w:ascii="Aptos" w:eastAsia="Aptos" w:hAnsi="Aptos" w:cs="Aptos"/>
                <w:color w:val="000000"/>
                <w:sz w:val="28"/>
                <w:szCs w:val="28"/>
              </w:rPr>
              <w:t xml:space="preserve">When you’re building a meetings program, you’re going to need a meetings policy. It helps organizations in areas like cost and risk management, data capture, stakeholder responsibilities and contracting. </w:t>
            </w:r>
          </w:p>
          <w:p w14:paraId="122D2B88" w14:textId="77777777" w:rsidR="00B7002F" w:rsidRPr="00EF0E1C" w:rsidRDefault="00B7002F">
            <w:pPr>
              <w:spacing w:before="120" w:after="120" w:line="335" w:lineRule="auto"/>
              <w:rPr>
                <w:rFonts w:ascii="Aptos" w:eastAsia="Aptos" w:hAnsi="Aptos" w:cs="Aptos"/>
                <w:color w:val="000000"/>
                <w:sz w:val="10"/>
                <w:szCs w:val="10"/>
              </w:rPr>
            </w:pPr>
          </w:p>
          <w:p w14:paraId="13E486E1" w14:textId="21F1D1F6" w:rsidR="00336D9D" w:rsidRPr="00EF0E1C" w:rsidRDefault="00943DAA">
            <w:pPr>
              <w:spacing w:before="120" w:after="120" w:line="335" w:lineRule="auto"/>
              <w:rPr>
                <w:rFonts w:ascii="Aptos" w:eastAsia="Aptos" w:hAnsi="Aptos" w:cs="Aptos"/>
                <w:color w:val="000000"/>
                <w:sz w:val="28"/>
                <w:szCs w:val="28"/>
              </w:rPr>
            </w:pPr>
            <w:r w:rsidRPr="00EF0E1C">
              <w:rPr>
                <w:rFonts w:ascii="Aptos" w:eastAsia="Aptos" w:hAnsi="Aptos" w:cs="Aptos"/>
                <w:color w:val="000000"/>
                <w:sz w:val="28"/>
                <w:szCs w:val="28"/>
              </w:rPr>
              <w:t xml:space="preserve">If you’re struggling to know how to start a policy and what one should look like, we have a framework for what you should include: </w:t>
            </w:r>
          </w:p>
          <w:p w14:paraId="6BEFC927" w14:textId="77777777" w:rsidR="00B7002F" w:rsidRPr="00EF0E1C" w:rsidRDefault="00B7002F">
            <w:pPr>
              <w:spacing w:before="120" w:after="120" w:line="335" w:lineRule="auto"/>
              <w:rPr>
                <w:rFonts w:ascii="Aptos" w:eastAsia="Aptos Bold" w:hAnsi="Aptos" w:cs="Aptos Bold"/>
                <w:b/>
                <w:bCs/>
                <w:color w:val="000000"/>
                <w:sz w:val="10"/>
                <w:szCs w:val="10"/>
              </w:rPr>
            </w:pPr>
          </w:p>
          <w:p w14:paraId="411723C7" w14:textId="35753144" w:rsidR="00336D9D" w:rsidRPr="00EF0E1C" w:rsidRDefault="00943DAA">
            <w:pPr>
              <w:spacing w:before="120" w:after="120" w:line="335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  <w:sz w:val="28"/>
                <w:szCs w:val="28"/>
              </w:rPr>
              <w:t xml:space="preserve">What’s the purpose? </w:t>
            </w:r>
          </w:p>
          <w:p w14:paraId="2FC4726B" w14:textId="78EBA8C5" w:rsidR="00336D9D" w:rsidRPr="00EF0E1C" w:rsidRDefault="00943DAA">
            <w:pPr>
              <w:spacing w:before="120" w:after="120" w:line="335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  <w:sz w:val="28"/>
                <w:szCs w:val="28"/>
              </w:rPr>
              <w:t xml:space="preserve">A meetings policy should clearly state why it exists, not just to set rules but to create a consistent and responsible approach for everyone involved. </w:t>
            </w:r>
          </w:p>
        </w:tc>
      </w:tr>
    </w:tbl>
    <w:p w14:paraId="54B0DE43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Montserrat Bold" w:hAnsi="Aptos" w:cs="Montserrat Bold"/>
          <w:b/>
          <w:bCs/>
          <w:color w:val="000000"/>
        </w:rPr>
        <w:t xml:space="preserve"> </w:t>
      </w:r>
    </w:p>
    <w:tbl>
      <w:tblPr>
        <w:tblW w:w="9030" w:type="dxa"/>
        <w:tblInd w:w="75" w:type="dxa"/>
        <w:tblBorders>
          <w:top w:val="single" w:sz="3" w:space="0" w:color="211551"/>
          <w:left w:val="single" w:sz="3" w:space="0" w:color="211551"/>
          <w:bottom w:val="single" w:sz="3" w:space="0" w:color="211551"/>
          <w:right w:val="single" w:sz="3" w:space="0" w:color="211551"/>
          <w:insideH w:val="single" w:sz="3" w:space="0" w:color="211551"/>
          <w:insideV w:val="single" w:sz="3" w:space="0" w:color="21155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6930"/>
      </w:tblGrid>
      <w:tr w:rsidR="00336D9D" w:rsidRPr="00EF0E1C" w14:paraId="03920466" w14:textId="77777777">
        <w:tc>
          <w:tcPr>
            <w:tcW w:w="2100" w:type="dxa"/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BA4A1" w14:textId="77777777" w:rsidR="00336D9D" w:rsidRPr="00EF0E1C" w:rsidRDefault="00943DAA">
            <w:pPr>
              <w:spacing w:before="120" w:after="120" w:line="300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Business Area </w:t>
            </w:r>
          </w:p>
        </w:tc>
        <w:tc>
          <w:tcPr>
            <w:tcW w:w="6929" w:type="dxa"/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F78ABC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What it helps with </w:t>
            </w:r>
          </w:p>
        </w:tc>
      </w:tr>
      <w:tr w:rsidR="00336D9D" w:rsidRPr="00EF0E1C" w14:paraId="2B0AEB91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F7614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Brand and Consistency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19982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Ensures meetings reflect company values and deliver a consistent participant experience </w:t>
            </w:r>
          </w:p>
        </w:tc>
      </w:tr>
      <w:tr w:rsidR="00336D9D" w:rsidRPr="00EF0E1C" w14:paraId="2E3A59FD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BDD42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lastRenderedPageBreak/>
              <w:t xml:space="preserve">Financial Stewardship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642709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Promotes responsible and transparent use of budget </w:t>
            </w:r>
          </w:p>
        </w:tc>
      </w:tr>
      <w:tr w:rsidR="00336D9D" w:rsidRPr="00EF0E1C" w14:paraId="0285B700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B10F6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Risk and Compliance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65CDF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Protects people and the organization through clear and safe processes </w:t>
            </w:r>
          </w:p>
        </w:tc>
      </w:tr>
      <w:tr w:rsidR="00336D9D" w:rsidRPr="00EF0E1C" w14:paraId="5F13C77C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A2243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Data and Reporting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14514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Enables informed decision-making and continuous improvement </w:t>
            </w:r>
          </w:p>
        </w:tc>
      </w:tr>
      <w:tr w:rsidR="00336D9D" w:rsidRPr="00EF0E1C" w14:paraId="04FE2874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8DB3B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Sustainability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F3196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Supports responsible business practices aligned with company commitments </w:t>
            </w:r>
          </w:p>
        </w:tc>
      </w:tr>
    </w:tbl>
    <w:p w14:paraId="25629F44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Montserrat Bold" w:hAnsi="Aptos" w:cs="Montserrat Bold"/>
          <w:b/>
          <w:bCs/>
          <w:color w:val="000000"/>
          <w:sz w:val="26"/>
          <w:szCs w:val="26"/>
        </w:rPr>
        <w:t xml:space="preserve"> </w:t>
      </w:r>
    </w:p>
    <w:p w14:paraId="5384C539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DEFINE WHAT COUNTS AS A MEETING </w:t>
      </w:r>
    </w:p>
    <w:p w14:paraId="278F0D86" w14:textId="5D436DBE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How do you know if something is a meeting or not?</w:t>
      </w:r>
      <w:r w:rsidRPr="00EF0E1C">
        <w:rPr>
          <w:rFonts w:ascii="Aptos" w:eastAsia="Aptos" w:hAnsi="Aptos" w:cs="Aptos"/>
          <w:color w:val="000000"/>
          <w:sz w:val="26"/>
          <w:szCs w:val="26"/>
        </w:rPr>
        <w:br/>
        <w:t xml:space="preserve">A meeting can be defined as: </w:t>
      </w:r>
      <w:r w:rsidRPr="00EF0E1C">
        <w:rPr>
          <w:rFonts w:ascii="Aptos" w:eastAsia="Aptos Italics" w:hAnsi="Aptos" w:cs="Aptos Italics"/>
          <w:i/>
          <w:iCs/>
          <w:color w:val="000000"/>
          <w:sz w:val="26"/>
          <w:szCs w:val="26"/>
        </w:rPr>
        <w:t>a business gathering focused on specific goals and topics hosted for the benefit of associates and/or clients.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3606A426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 meeting or event typically qualifies if: </w:t>
      </w:r>
    </w:p>
    <w:p w14:paraId="37D410CF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 contract is required </w:t>
      </w:r>
    </w:p>
    <w:p w14:paraId="5D95A838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The budget exceeds a defined threshold (e.g., $10,000) </w:t>
      </w:r>
    </w:p>
    <w:p w14:paraId="51635013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 hotel room block is needed </w:t>
      </w:r>
    </w:p>
    <w:p w14:paraId="6A03B9AC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Executives, VIPs, or clients are attending </w:t>
      </w:r>
    </w:p>
    <w:p w14:paraId="2BF6F458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The activity involves elevated risk </w:t>
      </w:r>
    </w:p>
    <w:p w14:paraId="3C08AD49" w14:textId="77777777" w:rsidR="00336D9D" w:rsidRPr="00EF0E1C" w:rsidRDefault="00943DAA">
      <w:pPr>
        <w:numPr>
          <w:ilvl w:val="0"/>
          <w:numId w:val="1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The company is funding all or part of the event </w:t>
      </w:r>
    </w:p>
    <w:p w14:paraId="33EC90C7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Having these clear definitions in place ensures consistency across the business. </w:t>
      </w:r>
    </w:p>
    <w:p w14:paraId="157AF22B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Montserrat Bold" w:hAnsi="Aptos" w:cs="Montserrat Bold"/>
          <w:b/>
          <w:bCs/>
          <w:color w:val="000000"/>
          <w:sz w:val="26"/>
          <w:szCs w:val="26"/>
        </w:rPr>
        <w:t xml:space="preserve"> </w:t>
      </w:r>
    </w:p>
    <w:p w14:paraId="28A9273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POLICY SCOPE </w:t>
      </w:r>
    </w:p>
    <w:p w14:paraId="7C529A1C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Specify who the policy applies to. Typically: </w:t>
      </w:r>
    </w:p>
    <w:p w14:paraId="07EF0D4D" w14:textId="77777777" w:rsidR="00336D9D" w:rsidRPr="00EF0E1C" w:rsidRDefault="00943DAA">
      <w:pPr>
        <w:numPr>
          <w:ilvl w:val="0"/>
          <w:numId w:val="2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All employees </w:t>
      </w:r>
    </w:p>
    <w:p w14:paraId="78DDF073" w14:textId="77777777" w:rsidR="00336D9D" w:rsidRPr="00EF0E1C" w:rsidRDefault="00943DAA">
      <w:pPr>
        <w:numPr>
          <w:ilvl w:val="0"/>
          <w:numId w:val="2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lastRenderedPageBreak/>
        <w:t xml:space="preserve">All departments </w:t>
      </w:r>
    </w:p>
    <w:p w14:paraId="755E75CB" w14:textId="77777777" w:rsidR="00336D9D" w:rsidRPr="00EF0E1C" w:rsidRDefault="00943DAA">
      <w:pPr>
        <w:numPr>
          <w:ilvl w:val="0"/>
          <w:numId w:val="2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All company-funded meetings and events </w:t>
      </w:r>
    </w:p>
    <w:p w14:paraId="43D9DCE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C5299B"/>
          <w:sz w:val="26"/>
          <w:szCs w:val="26"/>
        </w:rPr>
        <w:t xml:space="preserve"> </w:t>
      </w:r>
    </w:p>
    <w:p w14:paraId="17FCD3B4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ROLES AND RESPONSIBILITIES </w:t>
      </w:r>
    </w:p>
    <w:p w14:paraId="595259EF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Define ownership clearly </w:t>
      </w:r>
    </w:p>
    <w:p w14:paraId="475112D8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Set up a simple process for collecting this data. Start with one region, ideally where volume or spend is highest, to pilot the approach. </w:t>
      </w:r>
    </w:p>
    <w:tbl>
      <w:tblPr>
        <w:tblW w:w="9030" w:type="dxa"/>
        <w:tblInd w:w="75" w:type="dxa"/>
        <w:tblBorders>
          <w:top w:val="single" w:sz="3" w:space="0" w:color="211551"/>
          <w:left w:val="single" w:sz="3" w:space="0" w:color="211551"/>
          <w:bottom w:val="single" w:sz="3" w:space="0" w:color="211551"/>
          <w:right w:val="single" w:sz="3" w:space="0" w:color="211551"/>
          <w:insideH w:val="single" w:sz="3" w:space="0" w:color="211551"/>
          <w:insideV w:val="single" w:sz="3" w:space="0" w:color="21155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1"/>
        <w:gridCol w:w="6779"/>
      </w:tblGrid>
      <w:tr w:rsidR="00336D9D" w:rsidRPr="00EF0E1C" w14:paraId="7FED3DD3" w14:textId="77777777">
        <w:tc>
          <w:tcPr>
            <w:tcW w:w="2100" w:type="dxa"/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4CCD53" w14:textId="77777777" w:rsidR="00336D9D" w:rsidRPr="00EF0E1C" w:rsidRDefault="00943DAA">
            <w:pPr>
              <w:spacing w:before="120" w:after="120" w:line="300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Role </w:t>
            </w:r>
          </w:p>
        </w:tc>
        <w:tc>
          <w:tcPr>
            <w:tcW w:w="6929" w:type="dxa"/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DAF5B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Responsibility </w:t>
            </w:r>
          </w:p>
        </w:tc>
      </w:tr>
      <w:tr w:rsidR="00336D9D" w:rsidRPr="00EF0E1C" w14:paraId="528B2742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9CCF3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Meeting owner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86583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Defines purpose, audience and budget </w:t>
            </w:r>
          </w:p>
        </w:tc>
      </w:tr>
      <w:tr w:rsidR="00336D9D" w:rsidRPr="00EF0E1C" w14:paraId="10B36BC3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DF28E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Meetings Team or Partner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F1AC8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Supports sourcing, planning and compliance </w:t>
            </w:r>
          </w:p>
        </w:tc>
      </w:tr>
      <w:tr w:rsidR="00336D9D" w:rsidRPr="00EF0E1C" w14:paraId="4E585E38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9CA1E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Approver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BB62B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Reviews and approves business need and spend </w:t>
            </w:r>
          </w:p>
        </w:tc>
      </w:tr>
      <w:tr w:rsidR="00336D9D" w:rsidRPr="00EF0E1C" w14:paraId="75D67C7D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378F0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Procurement/Legal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36CEB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Reviews and approves contracts </w:t>
            </w:r>
          </w:p>
        </w:tc>
      </w:tr>
      <w:tr w:rsidR="00336D9D" w:rsidRPr="00EF0E1C" w14:paraId="5C4D7D78" w14:textId="77777777">
        <w:tc>
          <w:tcPr>
            <w:tcW w:w="2100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2B0AF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Finance 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10B5C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Tracks spend and reporting </w:t>
            </w:r>
          </w:p>
        </w:tc>
      </w:tr>
    </w:tbl>
    <w:p w14:paraId="23D35583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C5299B"/>
          <w:sz w:val="26"/>
          <w:szCs w:val="26"/>
        </w:rPr>
        <w:t xml:space="preserve"> </w:t>
      </w:r>
    </w:p>
    <w:p w14:paraId="7D845229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REGISTRATION AND APPROVAL PROCESS </w:t>
      </w:r>
    </w:p>
    <w:p w14:paraId="5850EB59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All meetings should follow a consistent intake and approval process.  </w:t>
      </w:r>
    </w:p>
    <w:p w14:paraId="3361AA4C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A simple approval flow: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44CEEDD7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Step 1: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Define meeting purpose and estimated budget</w:t>
      </w:r>
      <w:r w:rsidRPr="00EF0E1C">
        <w:rPr>
          <w:rFonts w:ascii="MS Gothic" w:eastAsia="MS Gothic" w:hAnsi="MS Gothic" w:cs="MS Gothic" w:hint="eastAsia"/>
          <w:color w:val="000000"/>
          <w:sz w:val="26"/>
          <w:szCs w:val="26"/>
        </w:rPr>
        <w:t> </w:t>
      </w:r>
      <w:r w:rsidRPr="00EF0E1C">
        <w:rPr>
          <w:rFonts w:ascii="Aptos" w:eastAsia="Aptos" w:hAnsi="Aptos" w:cs="Aptos"/>
          <w:color w:val="000000"/>
          <w:sz w:val="26"/>
          <w:szCs w:val="26"/>
        </w:rPr>
        <w:br/>
      </w: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Step 2: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Register the meeting through the designated process or tool</w:t>
      </w:r>
      <w:r w:rsidRPr="00EF0E1C">
        <w:rPr>
          <w:rFonts w:ascii="MS Gothic" w:eastAsia="MS Gothic" w:hAnsi="MS Gothic" w:cs="MS Gothic" w:hint="eastAsia"/>
          <w:color w:val="000000"/>
          <w:sz w:val="26"/>
          <w:szCs w:val="26"/>
        </w:rPr>
        <w:t> </w:t>
      </w:r>
      <w:r w:rsidRPr="00EF0E1C">
        <w:rPr>
          <w:rFonts w:ascii="Aptos" w:eastAsia="Aptos" w:hAnsi="Aptos" w:cs="Aptos"/>
          <w:color w:val="000000"/>
          <w:sz w:val="26"/>
          <w:szCs w:val="26"/>
        </w:rPr>
        <w:br/>
      </w: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Step 3: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Obtain required approval</w:t>
      </w:r>
      <w:r w:rsidRPr="00EF0E1C">
        <w:rPr>
          <w:rFonts w:ascii="MS Gothic" w:eastAsia="MS Gothic" w:hAnsi="MS Gothic" w:cs="MS Gothic" w:hint="eastAsia"/>
          <w:color w:val="000000"/>
          <w:sz w:val="26"/>
          <w:szCs w:val="26"/>
        </w:rPr>
        <w:t> </w:t>
      </w:r>
      <w:r w:rsidRPr="00EF0E1C">
        <w:rPr>
          <w:rFonts w:ascii="Aptos" w:eastAsia="Aptos" w:hAnsi="Aptos" w:cs="Aptos"/>
          <w:color w:val="000000"/>
          <w:sz w:val="26"/>
          <w:szCs w:val="26"/>
        </w:rPr>
        <w:br/>
      </w: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Step 4: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Proceed to sourcing and contracting </w:t>
      </w:r>
    </w:p>
    <w:p w14:paraId="3EC04D8B" w14:textId="47F1C216" w:rsidR="001A50BF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>Larger or higher-risk meetings may require central oversight</w:t>
      </w:r>
      <w:r w:rsidR="00C95864">
        <w:rPr>
          <w:rFonts w:ascii="Aptos" w:eastAsia="Aptos" w:hAnsi="Aptos" w:cs="Aptos"/>
          <w:color w:val="000000"/>
          <w:sz w:val="26"/>
          <w:szCs w:val="26"/>
        </w:rPr>
        <w:t>.</w:t>
      </w:r>
    </w:p>
    <w:p w14:paraId="4E857132" w14:textId="2CC5E3C8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lastRenderedPageBreak/>
        <w:t xml:space="preserve">SOURCING AND CONTRACTING GUIDELINES </w:t>
      </w:r>
    </w:p>
    <w:p w14:paraId="70546CDE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Core policy principles typically include: </w:t>
      </w:r>
    </w:p>
    <w:p w14:paraId="71E17B74" w14:textId="77777777" w:rsidR="00336D9D" w:rsidRPr="00EF0E1C" w:rsidRDefault="00943DAA">
      <w:pPr>
        <w:numPr>
          <w:ilvl w:val="0"/>
          <w:numId w:val="3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Use approved or preferred suppliers where possible </w:t>
      </w:r>
    </w:p>
    <w:p w14:paraId="724A0640" w14:textId="77777777" w:rsidR="00336D9D" w:rsidRPr="00EF0E1C" w:rsidRDefault="00943DAA">
      <w:pPr>
        <w:numPr>
          <w:ilvl w:val="0"/>
          <w:numId w:val="3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Centralize venue sourcing for leverage and consistency </w:t>
      </w:r>
    </w:p>
    <w:p w14:paraId="1CDEC1DC" w14:textId="77777777" w:rsidR="00336D9D" w:rsidRPr="00EF0E1C" w:rsidRDefault="00943DAA">
      <w:pPr>
        <w:numPr>
          <w:ilvl w:val="0"/>
          <w:numId w:val="3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Ensure all contracts are reviewed before signature </w:t>
      </w:r>
    </w:p>
    <w:p w14:paraId="28BFCB19" w14:textId="77777777" w:rsidR="00336D9D" w:rsidRPr="00EF0E1C" w:rsidRDefault="00943DAA">
      <w:pPr>
        <w:numPr>
          <w:ilvl w:val="0"/>
          <w:numId w:val="3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Apply standard company contract terms to reduce risk </w:t>
      </w:r>
    </w:p>
    <w:p w14:paraId="60DF3E12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This protects the organization financially and legally. </w:t>
      </w:r>
    </w:p>
    <w:p w14:paraId="4CE63D41" w14:textId="526235B5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Many organizations structure their meetings portfolio into tiers to determine the appropriate level of governance, sourcing and strategic support. Tiers are typically defined by a combination of budget, attendee profile, complexity, lead time and risk exposure. </w:t>
      </w:r>
    </w:p>
    <w:p w14:paraId="37C8CC11" w14:textId="77777777" w:rsidR="00336D9D" w:rsidRPr="00EF0E1C" w:rsidRDefault="00943DAA">
      <w:pPr>
        <w:spacing w:before="120" w:after="120" w:line="336" w:lineRule="auto"/>
        <w:rPr>
          <w:rFonts w:ascii="Aptos" w:eastAsia="Aptos" w:hAnsi="Aptos" w:cs="Aptos"/>
          <w:color w:val="000000"/>
          <w:sz w:val="26"/>
          <w:szCs w:val="26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Below is an example framework. Definitions and thresholds should be tailored to your organization’s structure: </w:t>
      </w:r>
    </w:p>
    <w:p w14:paraId="6C998263" w14:textId="77777777" w:rsidR="00B60F84" w:rsidRPr="00EF0E1C" w:rsidRDefault="00B60F84">
      <w:pPr>
        <w:spacing w:before="120" w:after="120" w:line="336" w:lineRule="auto"/>
        <w:rPr>
          <w:rFonts w:ascii="Aptos" w:hAnsi="Aptos"/>
        </w:rPr>
      </w:pPr>
    </w:p>
    <w:tbl>
      <w:tblPr>
        <w:tblW w:w="9030" w:type="dxa"/>
        <w:tblInd w:w="75" w:type="dxa"/>
        <w:tblBorders>
          <w:top w:val="single" w:sz="3" w:space="0" w:color="211551"/>
          <w:left w:val="single" w:sz="3" w:space="0" w:color="211551"/>
          <w:bottom w:val="single" w:sz="3" w:space="0" w:color="211551"/>
          <w:right w:val="single" w:sz="3" w:space="0" w:color="211551"/>
          <w:insideH w:val="single" w:sz="3" w:space="0" w:color="211551"/>
          <w:insideV w:val="single" w:sz="3" w:space="0" w:color="21155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2209"/>
        <w:gridCol w:w="2160"/>
        <w:gridCol w:w="3720"/>
      </w:tblGrid>
      <w:tr w:rsidR="00336D9D" w:rsidRPr="00EF0E1C" w14:paraId="0850B2C5" w14:textId="77777777" w:rsidTr="00B60F84">
        <w:tc>
          <w:tcPr>
            <w:tcW w:w="941" w:type="dxa"/>
            <w:tcBorders>
              <w:top w:val="single" w:sz="6" w:space="0" w:color="211551"/>
            </w:tcBorders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97FC5" w14:textId="77777777" w:rsidR="00336D9D" w:rsidRPr="00EF0E1C" w:rsidRDefault="00943DAA">
            <w:pPr>
              <w:spacing w:before="120" w:after="120" w:line="300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Tier </w:t>
            </w:r>
          </w:p>
        </w:tc>
        <w:tc>
          <w:tcPr>
            <w:tcW w:w="2209" w:type="dxa"/>
            <w:tcBorders>
              <w:top w:val="single" w:sz="6" w:space="0" w:color="211551"/>
            </w:tcBorders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76900" w14:textId="20AFA408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Meeting Type </w:t>
            </w:r>
          </w:p>
        </w:tc>
        <w:tc>
          <w:tcPr>
            <w:tcW w:w="2160" w:type="dxa"/>
            <w:tcBorders>
              <w:top w:val="single" w:sz="6" w:space="0" w:color="211551"/>
            </w:tcBorders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42D4B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What it looks like </w:t>
            </w:r>
          </w:p>
        </w:tc>
        <w:tc>
          <w:tcPr>
            <w:tcW w:w="3720" w:type="dxa"/>
            <w:tcBorders>
              <w:top w:val="single" w:sz="6" w:space="0" w:color="211551"/>
            </w:tcBorders>
            <w:shd w:val="clear" w:color="auto" w:fill="17A69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A7FAC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FFFFFF"/>
              </w:rPr>
              <w:t xml:space="preserve">Support Level </w:t>
            </w:r>
          </w:p>
        </w:tc>
      </w:tr>
      <w:tr w:rsidR="00336D9D" w:rsidRPr="00EF0E1C" w14:paraId="34B3FA86" w14:textId="77777777" w:rsidTr="00B60F84">
        <w:tc>
          <w:tcPr>
            <w:tcW w:w="941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6D568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Tier 1 </w:t>
            </w:r>
          </w:p>
        </w:tc>
        <w:tc>
          <w:tcPr>
            <w:tcW w:w="22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5C635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Small/internal 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1A769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Lower budget, limited attendees, low complexity, short lead time </w:t>
            </w:r>
          </w:p>
        </w:tc>
        <w:tc>
          <w:tcPr>
            <w:tcW w:w="3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E03DEA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Self-service tools with contract oversight </w:t>
            </w:r>
          </w:p>
        </w:tc>
      </w:tr>
      <w:tr w:rsidR="00336D9D" w:rsidRPr="00EF0E1C" w14:paraId="5465C469" w14:textId="77777777" w:rsidTr="00B60F84">
        <w:tc>
          <w:tcPr>
            <w:tcW w:w="941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A937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Tier 2 </w:t>
            </w:r>
          </w:p>
        </w:tc>
        <w:tc>
          <w:tcPr>
            <w:tcW w:w="22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E8836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Mid-size meetings 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C4261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Moderate budget, internal/external attendees, sourcing required </w:t>
            </w:r>
          </w:p>
        </w:tc>
        <w:tc>
          <w:tcPr>
            <w:tcW w:w="3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B5703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Centralized sourcing and contract management </w:t>
            </w:r>
          </w:p>
        </w:tc>
      </w:tr>
      <w:tr w:rsidR="00336D9D" w:rsidRPr="00EF0E1C" w14:paraId="5A7292B0" w14:textId="77777777" w:rsidTr="00B60F84">
        <w:tc>
          <w:tcPr>
            <w:tcW w:w="941" w:type="dxa"/>
            <w:shd w:val="clear" w:color="auto" w:fill="F1EFFC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CE46F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 Bold" w:hAnsi="Aptos" w:cs="Aptos Bold"/>
                <w:b/>
                <w:bCs/>
                <w:color w:val="000000"/>
              </w:rPr>
              <w:t xml:space="preserve">Tier 3 </w:t>
            </w:r>
          </w:p>
        </w:tc>
        <w:tc>
          <w:tcPr>
            <w:tcW w:w="22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44C91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Large/Complex meetings </w:t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3A3323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Larger audiences, higher visibility, longer lead times </w:t>
            </w:r>
          </w:p>
        </w:tc>
        <w:tc>
          <w:tcPr>
            <w:tcW w:w="37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8A51A" w14:textId="77777777" w:rsidR="00336D9D" w:rsidRPr="00EF0E1C" w:rsidRDefault="00943DAA">
            <w:pPr>
              <w:spacing w:before="120" w:after="120" w:line="336" w:lineRule="auto"/>
              <w:rPr>
                <w:rFonts w:ascii="Aptos" w:hAnsi="Aptos"/>
              </w:rPr>
            </w:pPr>
            <w:r w:rsidRPr="00EF0E1C">
              <w:rPr>
                <w:rFonts w:ascii="Aptos" w:eastAsia="Aptos" w:hAnsi="Aptos" w:cs="Aptos"/>
                <w:color w:val="000000"/>
              </w:rPr>
              <w:t xml:space="preserve">Full-service planning, sourcing and onsite management  </w:t>
            </w:r>
          </w:p>
        </w:tc>
      </w:tr>
    </w:tbl>
    <w:p w14:paraId="78724546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C5299B"/>
          <w:sz w:val="32"/>
          <w:szCs w:val="32"/>
        </w:rPr>
        <w:lastRenderedPageBreak/>
        <w:t xml:space="preserve"> </w:t>
      </w:r>
    </w:p>
    <w:p w14:paraId="52D87861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PLANNING SERVICE LEVELS </w:t>
      </w:r>
    </w:p>
    <w:p w14:paraId="558EF4EF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Risk, Compliance and Duty of Care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68574A8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The policy should address: </w:t>
      </w:r>
    </w:p>
    <w:p w14:paraId="77D3888A" w14:textId="77777777" w:rsidR="00336D9D" w:rsidRPr="00EF0E1C" w:rsidRDefault="00943DAA">
      <w:pPr>
        <w:numPr>
          <w:ilvl w:val="0"/>
          <w:numId w:val="4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Executive or VIP meetings </w:t>
      </w:r>
    </w:p>
    <w:p w14:paraId="092A125E" w14:textId="77777777" w:rsidR="00336D9D" w:rsidRPr="00EF0E1C" w:rsidRDefault="00943DAA">
      <w:pPr>
        <w:numPr>
          <w:ilvl w:val="0"/>
          <w:numId w:val="4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High-risk activities or destinations </w:t>
      </w:r>
    </w:p>
    <w:p w14:paraId="2E0F59C5" w14:textId="77777777" w:rsidR="00336D9D" w:rsidRPr="00EF0E1C" w:rsidRDefault="00943DAA">
      <w:pPr>
        <w:numPr>
          <w:ilvl w:val="0"/>
          <w:numId w:val="4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Insurance requirements </w:t>
      </w:r>
    </w:p>
    <w:p w14:paraId="1DF3A832" w14:textId="77777777" w:rsidR="00336D9D" w:rsidRPr="00EF0E1C" w:rsidRDefault="00943DAA">
      <w:pPr>
        <w:numPr>
          <w:ilvl w:val="0"/>
          <w:numId w:val="4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Data privacy and attendee protection </w:t>
      </w:r>
    </w:p>
    <w:p w14:paraId="27884089" w14:textId="77777777" w:rsidR="00336D9D" w:rsidRPr="00EF0E1C" w:rsidRDefault="00943DAA">
      <w:pPr>
        <w:numPr>
          <w:ilvl w:val="0"/>
          <w:numId w:val="4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Industry-specific compliance obligations (if applicable) </w:t>
      </w:r>
    </w:p>
    <w:p w14:paraId="31208E5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Higher-risk meetings may require additional oversight. </w:t>
      </w:r>
    </w:p>
    <w:p w14:paraId="4901F095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6A774E75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DATA CAPTURE AND REPORTING </w:t>
      </w:r>
    </w:p>
    <w:p w14:paraId="7E09BF88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 xml:space="preserve">At minimum, organizations should capture: </w:t>
      </w:r>
    </w:p>
    <w:p w14:paraId="5705CD39" w14:textId="77777777" w:rsidR="00336D9D" w:rsidRPr="00EF0E1C" w:rsidRDefault="00943DAA">
      <w:pPr>
        <w:numPr>
          <w:ilvl w:val="0"/>
          <w:numId w:val="5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Meeting purpose </w:t>
      </w:r>
    </w:p>
    <w:p w14:paraId="149EF779" w14:textId="77777777" w:rsidR="00336D9D" w:rsidRPr="00EF0E1C" w:rsidRDefault="00943DAA">
      <w:pPr>
        <w:numPr>
          <w:ilvl w:val="0"/>
          <w:numId w:val="5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Budget vs. actual spend </w:t>
      </w:r>
    </w:p>
    <w:p w14:paraId="3188A8C9" w14:textId="77777777" w:rsidR="00336D9D" w:rsidRPr="00EF0E1C" w:rsidRDefault="00943DAA">
      <w:pPr>
        <w:numPr>
          <w:ilvl w:val="0"/>
          <w:numId w:val="5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Attendee count </w:t>
      </w:r>
    </w:p>
    <w:p w14:paraId="62BFF9F7" w14:textId="77777777" w:rsidR="00336D9D" w:rsidRPr="00EF0E1C" w:rsidRDefault="00943DAA">
      <w:pPr>
        <w:numPr>
          <w:ilvl w:val="0"/>
          <w:numId w:val="5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Location and duration </w:t>
      </w:r>
    </w:p>
    <w:p w14:paraId="79E5557D" w14:textId="77777777" w:rsidR="00336D9D" w:rsidRPr="00EF0E1C" w:rsidRDefault="00943DAA">
      <w:pPr>
        <w:numPr>
          <w:ilvl w:val="0"/>
          <w:numId w:val="5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Key suppliers used </w:t>
      </w:r>
    </w:p>
    <w:p w14:paraId="6E0D97A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 xml:space="preserve">This data supports: </w:t>
      </w:r>
    </w:p>
    <w:p w14:paraId="1A804D52" w14:textId="77777777" w:rsidR="00336D9D" w:rsidRPr="00EF0E1C" w:rsidRDefault="00943DAA">
      <w:pPr>
        <w:numPr>
          <w:ilvl w:val="0"/>
          <w:numId w:val="6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Spend visibility </w:t>
      </w:r>
    </w:p>
    <w:p w14:paraId="4723004E" w14:textId="77777777" w:rsidR="00336D9D" w:rsidRPr="00EF0E1C" w:rsidRDefault="00943DAA">
      <w:pPr>
        <w:numPr>
          <w:ilvl w:val="0"/>
          <w:numId w:val="6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Cost optimization </w:t>
      </w:r>
    </w:p>
    <w:p w14:paraId="24CF8F0C" w14:textId="77777777" w:rsidR="00336D9D" w:rsidRPr="00EF0E1C" w:rsidRDefault="00943DAA">
      <w:pPr>
        <w:numPr>
          <w:ilvl w:val="0"/>
          <w:numId w:val="6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Compliance tracking </w:t>
      </w:r>
    </w:p>
    <w:p w14:paraId="49AF899D" w14:textId="77777777" w:rsidR="00336D9D" w:rsidRPr="00EF0E1C" w:rsidRDefault="00943DAA">
      <w:pPr>
        <w:numPr>
          <w:ilvl w:val="0"/>
          <w:numId w:val="6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Future planning </w:t>
      </w:r>
    </w:p>
    <w:p w14:paraId="6E3F2619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07A573AA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17A697"/>
          <w:sz w:val="32"/>
          <w:szCs w:val="32"/>
        </w:rPr>
        <w:t xml:space="preserve">BENEFITS OF A STRUCTURED MEETING POLICY </w:t>
      </w:r>
    </w:p>
    <w:p w14:paraId="7152E77E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A structured meetings program can deliver: </w:t>
      </w:r>
    </w:p>
    <w:p w14:paraId="1487C975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Cost Savings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38484A92" w14:textId="77777777" w:rsidR="00336D9D" w:rsidRPr="00EF0E1C" w:rsidRDefault="00943DAA">
      <w:pPr>
        <w:numPr>
          <w:ilvl w:val="0"/>
          <w:numId w:val="7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lastRenderedPageBreak/>
        <w:t xml:space="preserve">Volume leverage </w:t>
      </w:r>
    </w:p>
    <w:p w14:paraId="48619E4D" w14:textId="77777777" w:rsidR="00336D9D" w:rsidRPr="00EF0E1C" w:rsidRDefault="00943DAA">
      <w:pPr>
        <w:numPr>
          <w:ilvl w:val="0"/>
          <w:numId w:val="7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Improved negotiations </w:t>
      </w:r>
    </w:p>
    <w:p w14:paraId="6402D2F3" w14:textId="77777777" w:rsidR="00336D9D" w:rsidRPr="00EF0E1C" w:rsidRDefault="00943DAA">
      <w:pPr>
        <w:numPr>
          <w:ilvl w:val="0"/>
          <w:numId w:val="7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Reduced duplication </w:t>
      </w:r>
    </w:p>
    <w:p w14:paraId="5B63B275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Risk Reduction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1AC207DA" w14:textId="77777777" w:rsidR="00336D9D" w:rsidRPr="00EF0E1C" w:rsidRDefault="00943DAA">
      <w:pPr>
        <w:numPr>
          <w:ilvl w:val="0"/>
          <w:numId w:val="8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Standard contract terms </w:t>
      </w:r>
    </w:p>
    <w:p w14:paraId="20B3E567" w14:textId="77777777" w:rsidR="00336D9D" w:rsidRPr="00EF0E1C" w:rsidRDefault="00943DAA">
      <w:pPr>
        <w:numPr>
          <w:ilvl w:val="0"/>
          <w:numId w:val="8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Reduced penalties </w:t>
      </w:r>
    </w:p>
    <w:p w14:paraId="30746487" w14:textId="77777777" w:rsidR="00336D9D" w:rsidRPr="00EF0E1C" w:rsidRDefault="00943DAA">
      <w:pPr>
        <w:numPr>
          <w:ilvl w:val="0"/>
          <w:numId w:val="8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Controlled liability exposure </w:t>
      </w:r>
    </w:p>
    <w:p w14:paraId="7C416D26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Efficiency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75055066" w14:textId="77777777" w:rsidR="00336D9D" w:rsidRPr="00EF0E1C" w:rsidRDefault="00943DAA">
      <w:pPr>
        <w:numPr>
          <w:ilvl w:val="0"/>
          <w:numId w:val="9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Streamlined processes </w:t>
      </w:r>
    </w:p>
    <w:p w14:paraId="67EA5429" w14:textId="77777777" w:rsidR="00336D9D" w:rsidRPr="00EF0E1C" w:rsidRDefault="00943DAA">
      <w:pPr>
        <w:numPr>
          <w:ilvl w:val="0"/>
          <w:numId w:val="9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Clear ownership </w:t>
      </w:r>
    </w:p>
    <w:p w14:paraId="23AB9385" w14:textId="77777777" w:rsidR="00336D9D" w:rsidRPr="00EF0E1C" w:rsidRDefault="00943DAA">
      <w:pPr>
        <w:numPr>
          <w:ilvl w:val="0"/>
          <w:numId w:val="9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Faster approvals </w:t>
      </w:r>
    </w:p>
    <w:p w14:paraId="08471B01" w14:textId="77777777" w:rsidR="00336D9D" w:rsidRPr="00EF0E1C" w:rsidRDefault="00943DAA">
      <w:pPr>
        <w:spacing w:before="120" w:after="120" w:line="336" w:lineRule="auto"/>
        <w:rPr>
          <w:rFonts w:ascii="Aptos" w:hAnsi="Aptos"/>
        </w:rPr>
      </w:pPr>
      <w:r w:rsidRPr="00EF0E1C">
        <w:rPr>
          <w:rFonts w:ascii="Aptos" w:eastAsia="Aptos Bold" w:hAnsi="Aptos" w:cs="Aptos Bold"/>
          <w:b/>
          <w:bCs/>
          <w:color w:val="000000"/>
          <w:sz w:val="26"/>
          <w:szCs w:val="26"/>
        </w:rPr>
        <w:t>Data and Insight</w:t>
      </w: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 </w:t>
      </w:r>
    </w:p>
    <w:p w14:paraId="2AE3A5FE" w14:textId="77777777" w:rsidR="00336D9D" w:rsidRPr="00EF0E1C" w:rsidRDefault="00943DAA">
      <w:pPr>
        <w:numPr>
          <w:ilvl w:val="0"/>
          <w:numId w:val="10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Visibility into total meeting spend </w:t>
      </w:r>
    </w:p>
    <w:p w14:paraId="7A63D6B0" w14:textId="77777777" w:rsidR="00336D9D" w:rsidRPr="00EF0E1C" w:rsidRDefault="00943DAA">
      <w:pPr>
        <w:numPr>
          <w:ilvl w:val="0"/>
          <w:numId w:val="10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 xml:space="preserve">Improved forecasting </w:t>
      </w:r>
    </w:p>
    <w:p w14:paraId="633020D6" w14:textId="7632B62D" w:rsidR="00336D9D" w:rsidRPr="001A50BF" w:rsidRDefault="00943DAA">
      <w:pPr>
        <w:numPr>
          <w:ilvl w:val="0"/>
          <w:numId w:val="10"/>
        </w:numPr>
        <w:spacing w:after="0" w:line="336" w:lineRule="auto"/>
        <w:rPr>
          <w:rFonts w:ascii="Aptos" w:hAnsi="Aptos"/>
        </w:rPr>
      </w:pPr>
      <w:r w:rsidRPr="00EF0E1C">
        <w:rPr>
          <w:rFonts w:ascii="Aptos" w:eastAsia="Aptos" w:hAnsi="Aptos" w:cs="Aptos"/>
          <w:color w:val="000000"/>
          <w:sz w:val="26"/>
          <w:szCs w:val="26"/>
        </w:rPr>
        <w:t>Better decision-making</w:t>
      </w:r>
      <w:r w:rsidRPr="00EF0E1C">
        <w:rPr>
          <w:rFonts w:ascii="MS Gothic" w:eastAsia="MS Gothic" w:hAnsi="MS Gothic" w:cs="MS Gothic" w:hint="eastAsia"/>
          <w:color w:val="000000"/>
          <w:sz w:val="26"/>
          <w:szCs w:val="26"/>
        </w:rPr>
        <w:t> </w:t>
      </w:r>
    </w:p>
    <w:p w14:paraId="64F95531" w14:textId="77777777" w:rsidR="001A50BF" w:rsidRPr="00EF0E1C" w:rsidRDefault="001A50BF" w:rsidP="001A50BF">
      <w:pPr>
        <w:spacing w:after="0" w:line="336" w:lineRule="auto"/>
        <w:rPr>
          <w:rFonts w:ascii="Aptos" w:hAnsi="Aptos"/>
        </w:rPr>
      </w:pPr>
    </w:p>
    <w:p w14:paraId="6FA28F12" w14:textId="24AC5AB0" w:rsidR="00336D9D" w:rsidRPr="00EF0E1C" w:rsidRDefault="00943DAA" w:rsidP="001A50BF">
      <w:pPr>
        <w:spacing w:before="120" w:after="120"/>
        <w:jc w:val="center"/>
        <w:rPr>
          <w:rFonts w:ascii="Aptos" w:hAnsi="Aptos"/>
        </w:rPr>
      </w:pPr>
      <w:r w:rsidRPr="00EF0E1C">
        <w:rPr>
          <w:rFonts w:ascii="Aptos" w:hAnsi="Aptos"/>
          <w:noProof/>
        </w:rPr>
        <w:drawing>
          <wp:inline distT="0" distB="0" distL="0" distR="0" wp14:anchorId="5C876C34" wp14:editId="524EEC1E">
            <wp:extent cx="5734050" cy="1386254"/>
            <wp:effectExtent l="0" t="0" r="0" b="0"/>
            <wp:docPr id="1" name="Drawing 1" descr="140ca4a0e-a429-4cf9-88b8-c5d58badeb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0ca4a0e-a429-4cf9-88b8-c5d58badeb67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8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D9D" w:rsidRPr="00EF0E1C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  <w:embedRegular r:id="rId1" w:fontKey="{B0DB565D-671D-4468-B9F5-EF2CE0DDA0AE}"/>
    <w:embedBold r:id="rId2" w:fontKey="{CFB45502-6C07-4901-B306-982277E1A763}"/>
    <w:embedItalic r:id="rId3" w:fontKey="{84520579-6185-4E90-9CBE-0ABE2DCE27BA}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4" w:fontKey="{382D79A2-9B76-4B2D-9F04-D4D17BD09A82}"/>
  </w:font>
  <w:font w:name="Aptos Italics">
    <w:altName w:val="Calibri"/>
    <w:charset w:val="00"/>
    <w:family w:val="swiss"/>
    <w:pitch w:val="variable"/>
    <w:sig w:usb0="20000287" w:usb1="00000003" w:usb2="00000000" w:usb3="00000000" w:csb0="0000019F" w:csb1="00000000"/>
    <w:embedItalic r:id="rId5" w:fontKey="{42905CFF-E386-458B-A18D-C528C5D3F8DD}"/>
  </w:font>
  <w:font w:name="Aptos Bold">
    <w:altName w:val="Aptos"/>
    <w:charset w:val="00"/>
    <w:family w:val="auto"/>
    <w:pitch w:val="default"/>
  </w:font>
  <w:font w:name="Montserrat Bold">
    <w:altName w:val="Montserrat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1DEB904E-BD8C-4647-A9B9-58ADD48C249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446C572A-682C-4FE0-B1EF-53C3F6BBE49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9F3"/>
    <w:multiLevelType w:val="hybridMultilevel"/>
    <w:tmpl w:val="0D3C1A64"/>
    <w:lvl w:ilvl="0" w:tplc="CF1CE2C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084E85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480F5E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FBE106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126D47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E7264F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C44C80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B02934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D283DEC">
      <w:numFmt w:val="decimal"/>
      <w:lvlText w:val=""/>
      <w:lvlJc w:val="left"/>
    </w:lvl>
  </w:abstractNum>
  <w:abstractNum w:abstractNumId="1" w15:restartNumberingAfterBreak="0">
    <w:nsid w:val="0E115DFE"/>
    <w:multiLevelType w:val="hybridMultilevel"/>
    <w:tmpl w:val="27DC829C"/>
    <w:lvl w:ilvl="0" w:tplc="3286A9C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EAA4CB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F76F70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8436776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D62CD6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0C001F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0A8A55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AC4A2FE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B20E600">
      <w:numFmt w:val="decimal"/>
      <w:lvlText w:val=""/>
      <w:lvlJc w:val="left"/>
    </w:lvl>
  </w:abstractNum>
  <w:abstractNum w:abstractNumId="2" w15:restartNumberingAfterBreak="0">
    <w:nsid w:val="2A291974"/>
    <w:multiLevelType w:val="hybridMultilevel"/>
    <w:tmpl w:val="7DD038D8"/>
    <w:lvl w:ilvl="0" w:tplc="1FA8C30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0F296A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40E573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5B96115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FD7C3D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88411C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E061C1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23E5DF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23C3066">
      <w:numFmt w:val="decimal"/>
      <w:lvlText w:val=""/>
      <w:lvlJc w:val="left"/>
    </w:lvl>
  </w:abstractNum>
  <w:abstractNum w:abstractNumId="3" w15:restartNumberingAfterBreak="0">
    <w:nsid w:val="2DED2829"/>
    <w:multiLevelType w:val="hybridMultilevel"/>
    <w:tmpl w:val="E78C89DA"/>
    <w:lvl w:ilvl="0" w:tplc="FA8C7F1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6D8E3D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E66D46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6A2E22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5E8897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A18103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85E9C6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41E951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B0E58B6">
      <w:numFmt w:val="decimal"/>
      <w:lvlText w:val=""/>
      <w:lvlJc w:val="left"/>
    </w:lvl>
  </w:abstractNum>
  <w:abstractNum w:abstractNumId="4" w15:restartNumberingAfterBreak="0">
    <w:nsid w:val="529E3278"/>
    <w:multiLevelType w:val="hybridMultilevel"/>
    <w:tmpl w:val="EAF42FB4"/>
    <w:lvl w:ilvl="0" w:tplc="65C81D4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8C45AB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74230F0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790E89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992A579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FDE246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58AC540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B5CE42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8BA2380">
      <w:numFmt w:val="decimal"/>
      <w:lvlText w:val=""/>
      <w:lvlJc w:val="left"/>
    </w:lvl>
  </w:abstractNum>
  <w:abstractNum w:abstractNumId="5" w15:restartNumberingAfterBreak="0">
    <w:nsid w:val="6C3A2DFA"/>
    <w:multiLevelType w:val="hybridMultilevel"/>
    <w:tmpl w:val="FB80E1AE"/>
    <w:lvl w:ilvl="0" w:tplc="5C50D55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4B6600B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08E21EF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BCEA37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394320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44A02B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222116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C8ED0F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8DCF90E">
      <w:numFmt w:val="decimal"/>
      <w:lvlText w:val=""/>
      <w:lvlJc w:val="left"/>
    </w:lvl>
  </w:abstractNum>
  <w:abstractNum w:abstractNumId="6" w15:restartNumberingAfterBreak="0">
    <w:nsid w:val="71186E17"/>
    <w:multiLevelType w:val="hybridMultilevel"/>
    <w:tmpl w:val="6A0248A4"/>
    <w:lvl w:ilvl="0" w:tplc="47FE3A2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EA02EF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1C98738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FE4FF5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5225F5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212B94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8926AF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E2382D7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B065B2C">
      <w:numFmt w:val="decimal"/>
      <w:lvlText w:val=""/>
      <w:lvlJc w:val="left"/>
    </w:lvl>
  </w:abstractNum>
  <w:abstractNum w:abstractNumId="7" w15:restartNumberingAfterBreak="0">
    <w:nsid w:val="726E420D"/>
    <w:multiLevelType w:val="hybridMultilevel"/>
    <w:tmpl w:val="7F0A01A0"/>
    <w:lvl w:ilvl="0" w:tplc="C7D2378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57A537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D94B92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A1E718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D10BE0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932362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5A83AD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84ACB9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81882EC">
      <w:numFmt w:val="decimal"/>
      <w:lvlText w:val=""/>
      <w:lvlJc w:val="left"/>
    </w:lvl>
  </w:abstractNum>
  <w:abstractNum w:abstractNumId="8" w15:restartNumberingAfterBreak="0">
    <w:nsid w:val="73500A0F"/>
    <w:multiLevelType w:val="hybridMultilevel"/>
    <w:tmpl w:val="081421AC"/>
    <w:lvl w:ilvl="0" w:tplc="3A6A3E4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8A43E6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044FD1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770E8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BBA2F3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5A4A669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71EDC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54C48B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D856058C">
      <w:numFmt w:val="decimal"/>
      <w:lvlText w:val=""/>
      <w:lvlJc w:val="left"/>
    </w:lvl>
  </w:abstractNum>
  <w:abstractNum w:abstractNumId="9" w15:restartNumberingAfterBreak="0">
    <w:nsid w:val="786D4285"/>
    <w:multiLevelType w:val="hybridMultilevel"/>
    <w:tmpl w:val="4AF6521E"/>
    <w:lvl w:ilvl="0" w:tplc="B1C083B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3E65D8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88ABE5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C16C62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D9011B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678FA8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35127DF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6F4721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3A0E9632">
      <w:numFmt w:val="decimal"/>
      <w:lvlText w:val=""/>
      <w:lvlJc w:val="left"/>
    </w:lvl>
  </w:abstractNum>
  <w:num w:numId="1" w16cid:durableId="1403061227">
    <w:abstractNumId w:val="2"/>
  </w:num>
  <w:num w:numId="2" w16cid:durableId="1493377092">
    <w:abstractNumId w:val="5"/>
  </w:num>
  <w:num w:numId="3" w16cid:durableId="1662655571">
    <w:abstractNumId w:val="9"/>
  </w:num>
  <w:num w:numId="4" w16cid:durableId="669411588">
    <w:abstractNumId w:val="4"/>
  </w:num>
  <w:num w:numId="5" w16cid:durableId="1953244305">
    <w:abstractNumId w:val="1"/>
  </w:num>
  <w:num w:numId="6" w16cid:durableId="172916218">
    <w:abstractNumId w:val="6"/>
  </w:num>
  <w:num w:numId="7" w16cid:durableId="377751352">
    <w:abstractNumId w:val="3"/>
  </w:num>
  <w:num w:numId="8" w16cid:durableId="1531914112">
    <w:abstractNumId w:val="7"/>
  </w:num>
  <w:num w:numId="9" w16cid:durableId="749733860">
    <w:abstractNumId w:val="8"/>
  </w:num>
  <w:num w:numId="10" w16cid:durableId="83495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9D"/>
    <w:rsid w:val="00073DD7"/>
    <w:rsid w:val="001A50BF"/>
    <w:rsid w:val="00336D9D"/>
    <w:rsid w:val="005D67EE"/>
    <w:rsid w:val="006523D9"/>
    <w:rsid w:val="00820AD3"/>
    <w:rsid w:val="008D3437"/>
    <w:rsid w:val="00943DAA"/>
    <w:rsid w:val="00B60F84"/>
    <w:rsid w:val="00B7002F"/>
    <w:rsid w:val="00C95864"/>
    <w:rsid w:val="00E102C2"/>
    <w:rsid w:val="00E95422"/>
    <w:rsid w:val="00E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4E473"/>
  <w15:docId w15:val="{DA2BE608-9DE2-BC4A-AAC1-19863B2D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Magnet | Policy Starter Template</dc:title>
  <dc:creator>Apache POI</dc:creator>
  <cp:lastModifiedBy>Thomas Newcombe (GB)</cp:lastModifiedBy>
  <cp:revision>2</cp:revision>
  <dcterms:created xsi:type="dcterms:W3CDTF">2026-03-23T09:55:00Z</dcterms:created>
  <dcterms:modified xsi:type="dcterms:W3CDTF">2026-03-23T09:55:00Z</dcterms:modified>
</cp:coreProperties>
</file>