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1BF5" w14:textId="77777777" w:rsidR="00A50646" w:rsidRPr="005C33D3" w:rsidRDefault="00E905CB">
      <w:pPr>
        <w:spacing w:before="120" w:after="120"/>
        <w:jc w:val="center"/>
      </w:pPr>
      <w:r w:rsidRPr="005C33D3">
        <w:rPr>
          <w:noProof/>
        </w:rPr>
        <w:drawing>
          <wp:anchor distT="0" distB="0" distL="114300" distR="114300" simplePos="0" relativeHeight="251658240" behindDoc="0" locked="0" layoutInCell="1" allowOverlap="1" wp14:anchorId="4F04AED4" wp14:editId="01B3D1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946986"/>
            <wp:effectExtent l="0" t="0" r="0" b="0"/>
            <wp:wrapTopAndBottom/>
            <wp:docPr id="2066039523" name="Drawing 0" descr="12ad84fce-274d-4a65-a5ca-1c857b18f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ad84fce-274d-4a65-a5ca-1c857b18f9b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66310" w14:textId="77777777" w:rsidR="00A50646" w:rsidRPr="005C33D3" w:rsidRDefault="00E905CB">
      <w:pPr>
        <w:spacing w:before="120" w:after="120" w:line="336" w:lineRule="auto"/>
      </w:pPr>
      <w:r w:rsidRPr="005C33D3">
        <w:rPr>
          <w:rFonts w:eastAsia="DM Sans" w:cs="DM Sans"/>
          <w:color w:val="404040"/>
        </w:rPr>
        <w:t xml:space="preserve"> </w:t>
      </w:r>
    </w:p>
    <w:tbl>
      <w:tblPr>
        <w:tblW w:w="936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50646" w:rsidRPr="005C33D3" w14:paraId="0A47538B" w14:textId="77777777">
        <w:tc>
          <w:tcPr>
            <w:tcW w:w="9360" w:type="dxa"/>
            <w:shd w:val="clear" w:color="auto" w:fill="F1EFF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534D94" w14:textId="77777777" w:rsidR="00A50646" w:rsidRPr="005C33D3" w:rsidRDefault="00E905CB">
            <w:pPr>
              <w:spacing w:before="120" w:after="120" w:line="335" w:lineRule="auto"/>
            </w:pPr>
            <w:r w:rsidRPr="005C33D3">
              <w:rPr>
                <w:rFonts w:eastAsia="Aptos Italics" w:cs="Aptos Italics"/>
                <w:i/>
                <w:iCs/>
                <w:color w:val="000000"/>
                <w:sz w:val="28"/>
                <w:szCs w:val="28"/>
              </w:rPr>
              <w:t xml:space="preserve">Key terms for meetings management beginners </w:t>
            </w:r>
          </w:p>
          <w:p w14:paraId="48D40EC4" w14:textId="77777777" w:rsidR="00A50646" w:rsidRPr="005C33D3" w:rsidRDefault="00E905CB">
            <w:pPr>
              <w:spacing w:before="120" w:after="120" w:line="335" w:lineRule="auto"/>
            </w:pPr>
            <w:r w:rsidRPr="005C33D3">
              <w:rPr>
                <w:rFonts w:eastAsia="Aptos" w:cs="Aptos"/>
                <w:color w:val="000000"/>
                <w:sz w:val="28"/>
                <w:szCs w:val="28"/>
              </w:rPr>
              <w:t xml:space="preserve">Meetings and events come with their own language. This glossary outlines some of the most used terms and acronyms to help you navigate meetings management with confidence. </w:t>
            </w:r>
          </w:p>
        </w:tc>
      </w:tr>
    </w:tbl>
    <w:p w14:paraId="6D5CA2E8" w14:textId="77777777" w:rsidR="00A50646" w:rsidRPr="005C33D3" w:rsidRDefault="00E905CB">
      <w:pPr>
        <w:spacing w:before="120" w:after="120" w:line="336" w:lineRule="auto"/>
      </w:pPr>
      <w:r w:rsidRPr="005C33D3">
        <w:rPr>
          <w:rFonts w:eastAsia="Montserrat Bold" w:cs="Montserrat Bold"/>
          <w:b/>
          <w:bCs/>
          <w:color w:val="000000"/>
        </w:rPr>
        <w:t xml:space="preserve"> </w:t>
      </w:r>
    </w:p>
    <w:tbl>
      <w:tblPr>
        <w:tblW w:w="9360" w:type="dxa"/>
        <w:tblInd w:w="45" w:type="dxa"/>
        <w:tblBorders>
          <w:top w:val="single" w:sz="3" w:space="0" w:color="211551"/>
          <w:left w:val="single" w:sz="3" w:space="0" w:color="211551"/>
          <w:bottom w:val="single" w:sz="3" w:space="0" w:color="211551"/>
          <w:right w:val="single" w:sz="3" w:space="0" w:color="211551"/>
          <w:insideH w:val="single" w:sz="3" w:space="0" w:color="211551"/>
          <w:insideV w:val="single" w:sz="3" w:space="0" w:color="21155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6930"/>
      </w:tblGrid>
      <w:tr w:rsidR="00A50646" w:rsidRPr="005C33D3" w14:paraId="31EE9DB1" w14:textId="77777777" w:rsidTr="00496979">
        <w:tc>
          <w:tcPr>
            <w:tcW w:w="2430" w:type="dxa"/>
            <w:shd w:val="clear" w:color="auto" w:fill="17A697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E28CF4" w14:textId="77777777" w:rsidR="00A50646" w:rsidRPr="005C33D3" w:rsidRDefault="00E905CB">
            <w:pPr>
              <w:spacing w:before="120" w:after="120" w:line="300" w:lineRule="auto"/>
            </w:pPr>
            <w:r w:rsidRPr="005C33D3">
              <w:rPr>
                <w:rFonts w:eastAsia="Aptos Bold" w:cs="Aptos Bold"/>
                <w:b/>
                <w:bCs/>
                <w:color w:val="FFFFFF"/>
              </w:rPr>
              <w:t xml:space="preserve">ROLE </w:t>
            </w:r>
          </w:p>
        </w:tc>
        <w:tc>
          <w:tcPr>
            <w:tcW w:w="6930" w:type="dxa"/>
            <w:shd w:val="clear" w:color="auto" w:fill="17A697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462B0F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FFFFFF"/>
              </w:rPr>
              <w:t xml:space="preserve">RESPONSIBILITY </w:t>
            </w:r>
          </w:p>
        </w:tc>
      </w:tr>
      <w:tr w:rsidR="00A50646" w:rsidRPr="005C33D3" w14:paraId="19FB6D11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244E78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t xml:space="preserve">Attrition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E309CA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A contractual clause requiring payment if a committed number of rooms or attendees is not met. </w:t>
            </w:r>
          </w:p>
        </w:tc>
      </w:tr>
      <w:tr w:rsidR="00A50646" w:rsidRPr="005C33D3" w14:paraId="0A8AB0A5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3E11E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t xml:space="preserve">Budget vs. Actual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3021BB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A comparison of the planned event budget against final spend. </w:t>
            </w:r>
          </w:p>
        </w:tc>
      </w:tr>
      <w:tr w:rsidR="00A50646" w:rsidRPr="005C33D3" w14:paraId="2FFBB40A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A755C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t xml:space="preserve">Cancellation Clause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9270BB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Contract terms outlining financial obligations if an event is cancelled. </w:t>
            </w:r>
          </w:p>
        </w:tc>
      </w:tr>
      <w:tr w:rsidR="00A50646" w:rsidRPr="005C33D3" w14:paraId="4129C67F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36B215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t xml:space="preserve">Centralized Model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AB049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A structure where meeting processes and supplier negotiations are managed through a single team or function. </w:t>
            </w:r>
          </w:p>
        </w:tc>
      </w:tr>
      <w:tr w:rsidR="00A50646" w:rsidRPr="005C33D3" w14:paraId="35B48052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B0D824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t xml:space="preserve">Consolidation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0CD65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Combining meeting spend or suppliers to use volume and improve negotiating power.  </w:t>
            </w:r>
          </w:p>
        </w:tc>
      </w:tr>
      <w:tr w:rsidR="00A50646" w:rsidRPr="005C33D3" w14:paraId="66D14E58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BA18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 Bold" w:cs="Aptos Bold"/>
                <w:b/>
                <w:bCs/>
                <w:color w:val="000000"/>
              </w:rPr>
              <w:lastRenderedPageBreak/>
              <w:t xml:space="preserve">Contract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60ACC9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" w:cs="DM Sans"/>
                <w:color w:val="000000"/>
              </w:rPr>
              <w:t xml:space="preserve">Adherence to internal policies, legal requirements and contractual standards. </w:t>
            </w:r>
          </w:p>
        </w:tc>
      </w:tr>
      <w:tr w:rsidR="00A50646" w:rsidRPr="005C33D3" w14:paraId="7DAB5BAC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B77012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Decentralized Model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531DCF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structure where departments independently manage their own meetings and suppliers. </w:t>
            </w:r>
          </w:p>
        </w:tc>
      </w:tr>
      <w:tr w:rsidR="00A50646" w:rsidRPr="005C33D3" w14:paraId="4BDF4236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E8CEA5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Duty of Care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4C5ED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The organization’s responsibility to ensure the safety and wellbeing of meeting attendees. </w:t>
            </w:r>
          </w:p>
        </w:tc>
      </w:tr>
      <w:tr w:rsidR="00A50646" w:rsidRPr="005C33D3" w14:paraId="6D8B4F1A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FBDEDE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ESG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A1CEE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Environmental, Social, and Governance standards influencing corporate decision-making, including event sustainability. </w:t>
            </w:r>
          </w:p>
        </w:tc>
      </w:tr>
      <w:tr w:rsidR="00A50646" w:rsidRPr="005C33D3" w14:paraId="38E8F40A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669AD3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Full-Service Model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4E463A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meeting model where a central meetings team or partner manages sourcing, contracting and logistics. </w:t>
            </w:r>
          </w:p>
        </w:tc>
      </w:tr>
      <w:tr w:rsidR="00A50646" w:rsidRPr="005C33D3" w14:paraId="32DAC2F9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E6FCB9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Offsite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A1DEC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meeting or event held at a location outside of the company’s primary office or property. </w:t>
            </w:r>
          </w:p>
        </w:tc>
      </w:tr>
      <w:tr w:rsidR="00A50646" w:rsidRPr="005C33D3" w14:paraId="4198DCF6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7694F0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Preferred Supplier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3C83CC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vendor selected through a strategic agreement due to negotiated pricing or service standards. </w:t>
            </w:r>
          </w:p>
        </w:tc>
      </w:tr>
      <w:tr w:rsidR="00A50646" w:rsidRPr="005C33D3" w14:paraId="729E4B8A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619785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Reconciliation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FE8E19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The process of reviewing final invoices against the approved budget after the event concludes. </w:t>
            </w:r>
          </w:p>
        </w:tc>
      </w:tr>
      <w:tr w:rsidR="00A50646" w:rsidRPr="005C33D3" w14:paraId="505033AA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C4F401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RFP (Request For Proposal)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D1A26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formal document sent to venues or suppliers requesting pricing, availability and service details for a meeting or event. </w:t>
            </w:r>
          </w:p>
        </w:tc>
      </w:tr>
      <w:tr w:rsidR="00A50646" w:rsidRPr="005C33D3" w14:paraId="7CF8184B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DAF054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Room Block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28BBF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group of hotel rooms reserved for meeting attendees at a negotiated rate. </w:t>
            </w:r>
          </w:p>
        </w:tc>
      </w:tr>
      <w:tr w:rsidR="00A50646" w:rsidRPr="005C33D3" w14:paraId="429FC547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C8E377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Self-Service Model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CB2D90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meeting model where internal teams manage logistics themselves, typically with defined oversight. </w:t>
            </w:r>
          </w:p>
        </w:tc>
      </w:tr>
      <w:tr w:rsidR="00A50646" w:rsidRPr="005C33D3" w14:paraId="1D93C24C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601814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lastRenderedPageBreak/>
              <w:t xml:space="preserve">SMM (Strategic Meetings Management)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85E3B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A structured approach to managing meeting and event spend, processes and suppliers across an organization to drive cost control, compliance and efficiency. </w:t>
            </w:r>
          </w:p>
        </w:tc>
      </w:tr>
      <w:tr w:rsidR="00A50646" w:rsidRPr="005C33D3" w14:paraId="05796732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18E50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Sourcing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0D6F74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The process of researching and selecting venues or suppliers based on event requirements, budget and availability. </w:t>
            </w:r>
          </w:p>
        </w:tc>
      </w:tr>
      <w:tr w:rsidR="00A50646" w:rsidRPr="005C33D3" w14:paraId="2ED7C2D6" w14:textId="77777777" w:rsidTr="00496979">
        <w:tc>
          <w:tcPr>
            <w:tcW w:w="2430" w:type="dxa"/>
            <w:shd w:val="clear" w:color="auto" w:fill="F1EFF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78A988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DM Sans Bold" w:cs="DM Sans Bold"/>
                <w:b/>
                <w:bCs/>
                <w:color w:val="000000"/>
              </w:rPr>
              <w:t xml:space="preserve">Sustainability (in meetings) </w:t>
            </w:r>
          </w:p>
        </w:tc>
        <w:tc>
          <w:tcPr>
            <w:tcW w:w="693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0C7B02" w14:textId="77777777" w:rsidR="00A50646" w:rsidRPr="005C33D3" w:rsidRDefault="00E905CB">
            <w:pPr>
              <w:spacing w:before="120" w:after="120" w:line="336" w:lineRule="auto"/>
            </w:pPr>
            <w:r w:rsidRPr="005C33D3">
              <w:rPr>
                <w:rFonts w:eastAsia="Aptos" w:cs="Aptos"/>
                <w:color w:val="000000"/>
              </w:rPr>
              <w:t xml:space="preserve">Efforts to reduce environmental impact, support social responsibility and align events with corporate ESG goals. </w:t>
            </w:r>
          </w:p>
        </w:tc>
      </w:tr>
    </w:tbl>
    <w:p w14:paraId="265A4DAE" w14:textId="77777777" w:rsidR="00A50646" w:rsidRPr="005C33D3" w:rsidRDefault="00E905CB">
      <w:pPr>
        <w:spacing w:before="120" w:after="120" w:line="336" w:lineRule="auto"/>
      </w:pPr>
      <w:r w:rsidRPr="005C33D3">
        <w:rPr>
          <w:rFonts w:eastAsia="Montserrat Bold" w:cs="Montserrat Bold"/>
          <w:b/>
          <w:bCs/>
          <w:color w:val="000000"/>
          <w:sz w:val="26"/>
          <w:szCs w:val="26"/>
        </w:rPr>
        <w:t xml:space="preserve"> </w:t>
      </w:r>
    </w:p>
    <w:p w14:paraId="7162E00E" w14:textId="77777777" w:rsidR="00A50646" w:rsidRPr="005C33D3" w:rsidRDefault="00E905CB">
      <w:pPr>
        <w:spacing w:before="120" w:after="120"/>
        <w:jc w:val="center"/>
      </w:pPr>
      <w:r w:rsidRPr="005C33D3">
        <w:rPr>
          <w:noProof/>
        </w:rPr>
        <w:drawing>
          <wp:inline distT="0" distB="0" distL="0" distR="0" wp14:anchorId="6A80ECA9" wp14:editId="6F03FC6A">
            <wp:extent cx="5943600" cy="1436914"/>
            <wp:effectExtent l="0" t="0" r="0" b="0"/>
            <wp:docPr id="1" name="Drawing 1" descr="161609b44-6963-426f-9910-753828ad3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609b44-6963-426f-9910-753828ad362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713FE" w14:textId="77777777" w:rsidR="005C33D3" w:rsidRDefault="00E905CB" w:rsidP="005C33D3">
      <w:pPr>
        <w:spacing w:before="120" w:after="120" w:line="336" w:lineRule="auto"/>
        <w:jc w:val="center"/>
      </w:pPr>
      <w:r w:rsidRPr="005C33D3">
        <w:rPr>
          <w:rFonts w:eastAsia="Avenir Next Semi-Bold" w:cs="Avenir Next Semi-Bold"/>
          <w:b/>
          <w:bCs/>
          <w:color w:val="000000"/>
        </w:rPr>
        <w:t xml:space="preserve"> </w:t>
      </w:r>
      <w:hyperlink r:id="rId6" w:history="1">
        <w:r w:rsidR="005C33D3" w:rsidRPr="00C948DA">
          <w:rPr>
            <w:rStyle w:val="Hyperlink"/>
            <w:b/>
            <w:bCs/>
            <w:color w:val="16A697"/>
          </w:rPr>
          <w:t>Get in touch</w:t>
        </w:r>
      </w:hyperlink>
      <w:r w:rsidR="005C33D3" w:rsidRPr="4D81B8A3">
        <w:t xml:space="preserve"> to </w:t>
      </w:r>
      <w:r w:rsidR="005C33D3">
        <w:t>start the conversation.</w:t>
      </w:r>
    </w:p>
    <w:p w14:paraId="793A5CBD" w14:textId="78C6D7EE" w:rsidR="00A50646" w:rsidRPr="005C33D3" w:rsidRDefault="00A50646">
      <w:pPr>
        <w:spacing w:before="120" w:after="120" w:line="336" w:lineRule="auto"/>
      </w:pPr>
    </w:p>
    <w:sectPr w:rsidR="00A50646" w:rsidRPr="005C33D3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  <w:embedRegular r:id="rId1" w:fontKey="{D1AE0DFA-DF54-4121-8709-CCA33E06A0D0}"/>
    <w:embedBold r:id="rId2" w:fontKey="{ED0FF8BE-73D8-4F54-972E-F9474E9243D6}"/>
    <w:embedItalic r:id="rId3" w:fontKey="{CED83965-1DD4-46E4-B430-CC11AFBD350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4" w:fontKey="{39F4A43F-4B62-4F33-8092-08AD70E4CAE0}"/>
  </w:font>
  <w:font w:name="Aptos Italics">
    <w:altName w:val="Calibri"/>
    <w:charset w:val="00"/>
    <w:family w:val="swiss"/>
    <w:pitch w:val="variable"/>
    <w:sig w:usb0="20000287" w:usb1="00000003" w:usb2="00000000" w:usb3="00000000" w:csb0="0000019F" w:csb1="00000000"/>
    <w:embedItalic r:id="rId5" w:fontKey="{031B3EC4-5CDE-40FC-9514-E82240023735}"/>
  </w:font>
  <w:font w:name="Montserrat Bold">
    <w:altName w:val="Montserrat"/>
    <w:charset w:val="00"/>
    <w:family w:val="auto"/>
    <w:pitch w:val="default"/>
    <w:embedBold r:id="rId6" w:fontKey="{8D7F0DC6-18EF-4F17-A73D-12335747BA54}"/>
  </w:font>
  <w:font w:name="Aptos Bold">
    <w:altName w:val="Aptos"/>
    <w:charset w:val="00"/>
    <w:family w:val="auto"/>
    <w:pitch w:val="default"/>
  </w:font>
  <w:font w:name="DM Sans Bold">
    <w:altName w:val="DM Sans"/>
    <w:charset w:val="00"/>
    <w:family w:val="auto"/>
    <w:pitch w:val="default"/>
    <w:embedBold r:id="rId7" w:fontKey="{966830A7-0504-4425-8326-E488EAD23A8B}"/>
  </w:font>
  <w:font w:name="Avenir Next Semi-Bold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F365F0DC-FAF6-4DF1-8DEE-FE1B82D8A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6"/>
    <w:rsid w:val="00126AA4"/>
    <w:rsid w:val="00496979"/>
    <w:rsid w:val="005C33D3"/>
    <w:rsid w:val="00A50646"/>
    <w:rsid w:val="00A56260"/>
    <w:rsid w:val="00E905CB"/>
    <w:rsid w:val="00E95422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D349"/>
  <w15:docId w15:val="{540729E8-68A1-A74B-ADA6-03AB90C8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3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dme.com/contact/?mtm_campaign=beginners-guide-managing-company-meetings&amp;mtm_source=lead-magnet&amp;mtm_medium=ct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Magnet | Glossary</dc:title>
  <dc:creator>Apache POI</dc:creator>
  <cp:lastModifiedBy>Thomas Newcombe (GB)</cp:lastModifiedBy>
  <cp:revision>2</cp:revision>
  <dcterms:created xsi:type="dcterms:W3CDTF">2026-03-23T09:55:00Z</dcterms:created>
  <dcterms:modified xsi:type="dcterms:W3CDTF">2026-03-23T09:55:00Z</dcterms:modified>
</cp:coreProperties>
</file>