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B473E1" w14:textId="108C2AA5" w:rsidR="00F95ACF" w:rsidRPr="00A43884" w:rsidRDefault="00A43884" w:rsidP="00731342">
      <w:pPr>
        <w:spacing w:before="120" w:after="120"/>
        <w:jc w:val="center"/>
      </w:pPr>
      <w:r>
        <w:rPr>
          <w:noProof/>
        </w:rPr>
        <w:drawing>
          <wp:anchor distT="0" distB="0" distL="114300" distR="114300" simplePos="0" relativeHeight="251662336" behindDoc="0" locked="0" layoutInCell="1" allowOverlap="1" wp14:anchorId="6C4CC1FF" wp14:editId="32F1AF0F">
            <wp:simplePos x="0" y="0"/>
            <wp:positionH relativeFrom="page">
              <wp:posOffset>16778</wp:posOffset>
            </wp:positionH>
            <wp:positionV relativeFrom="page">
              <wp:posOffset>-33556</wp:posOffset>
            </wp:positionV>
            <wp:extent cx="7751428" cy="1951990"/>
            <wp:effectExtent l="0" t="0" r="0" b="3810"/>
            <wp:wrapTopAndBottom/>
            <wp:docPr id="1394402958" name="Drawing 0" descr="134debd09-5d75-4aee-8313-d0f65d4648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34debd09-5d75-4aee-8313-d0f65d464829.png"/>
                    <pic:cNvPicPr>
                      <a:picLocks noChangeAspect="1"/>
                    </pic:cNvPicPr>
                  </pic:nvPicPr>
                  <pic:blipFill>
                    <a:blip r:embed="rId8"/>
                    <a:stretch>
                      <a:fillRect/>
                    </a:stretch>
                  </pic:blipFill>
                  <pic:spPr>
                    <a:xfrm>
                      <a:off x="0" y="0"/>
                      <a:ext cx="7763890" cy="1955128"/>
                    </a:xfrm>
                    <a:prstGeom prst="rect">
                      <a:avLst/>
                    </a:prstGeom>
                  </pic:spPr>
                </pic:pic>
              </a:graphicData>
            </a:graphic>
            <wp14:sizeRelH relativeFrom="margin">
              <wp14:pctWidth>0</wp14:pctWidth>
            </wp14:sizeRelH>
            <wp14:sizeRelV relativeFrom="margin">
              <wp14:pctHeight>0</wp14:pctHeight>
            </wp14:sizeRelV>
          </wp:anchor>
        </w:drawing>
      </w:r>
      <w:r w:rsidR="00000000" w:rsidRPr="00A43884">
        <w:rPr>
          <w:rFonts w:eastAsia="Montserrat Bold" w:cs="Montserrat Bold"/>
          <w:b/>
          <w:bCs/>
          <w:color w:val="211551"/>
        </w:rPr>
        <w:t xml:space="preserve"> </w:t>
      </w:r>
    </w:p>
    <w:tbl>
      <w:tblPr>
        <w:tblW w:w="9360" w:type="dxa"/>
        <w:tblInd w:w="180" w:type="dxa"/>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CellMar>
          <w:left w:w="10" w:type="dxa"/>
          <w:right w:w="10" w:type="dxa"/>
        </w:tblCellMar>
        <w:tblLook w:val="04A0" w:firstRow="1" w:lastRow="0" w:firstColumn="1" w:lastColumn="0" w:noHBand="0" w:noVBand="1"/>
      </w:tblPr>
      <w:tblGrid>
        <w:gridCol w:w="9360"/>
      </w:tblGrid>
      <w:tr w:rsidR="00F95ACF" w:rsidRPr="00A43884" w14:paraId="1B1713C1" w14:textId="77777777">
        <w:tc>
          <w:tcPr>
            <w:tcW w:w="9360" w:type="dxa"/>
            <w:shd w:val="clear" w:color="auto" w:fill="F1EFFC"/>
            <w:tcMar>
              <w:top w:w="180" w:type="dxa"/>
              <w:left w:w="180" w:type="dxa"/>
              <w:bottom w:w="180" w:type="dxa"/>
              <w:right w:w="180" w:type="dxa"/>
            </w:tcMar>
          </w:tcPr>
          <w:p w14:paraId="4DCE5D99" w14:textId="3FFED01B" w:rsidR="00F95ACF" w:rsidRPr="00A43884" w:rsidRDefault="00000000" w:rsidP="00145E9A">
            <w:pPr>
              <w:spacing w:before="120" w:after="120" w:line="240" w:lineRule="auto"/>
              <w:rPr>
                <w:rFonts w:eastAsia="DM Sans" w:cs="DM Sans"/>
                <w:color w:val="211551"/>
              </w:rPr>
            </w:pPr>
            <w:r w:rsidRPr="00A43884">
              <w:rPr>
                <w:rFonts w:eastAsia="DM Sans" w:cs="DM Sans"/>
                <w:color w:val="211551"/>
              </w:rPr>
              <w:t xml:space="preserve">Perfect venue secured. Now it’s time to focus on the details that will ensure everything runs smoothly. Contracting is a critical step, and while this checklist offers a starting point for key items to review, it’s not an exhaustive guide. That’s where we come in.  </w:t>
            </w:r>
          </w:p>
          <w:p w14:paraId="00E98EC7" w14:textId="2D82725A" w:rsidR="00F95ACF" w:rsidRPr="00A43884" w:rsidRDefault="00000000" w:rsidP="00145E9A">
            <w:pPr>
              <w:spacing w:before="120" w:after="120" w:line="240" w:lineRule="auto"/>
              <w:rPr>
                <w:rFonts w:eastAsia="DM Sans" w:cs="DM Sans"/>
                <w:color w:val="211551"/>
              </w:rPr>
            </w:pPr>
            <w:r w:rsidRPr="00A43884">
              <w:rPr>
                <w:rFonts w:eastAsia="DM Sans" w:cs="DM Sans"/>
                <w:color w:val="211551"/>
              </w:rPr>
              <w:t xml:space="preserve">Our Venue Sourcing team specializes in managing the complexities of venue contracts, from navigating fine print to minimizing risk. </w:t>
            </w:r>
            <w:hyperlink r:id="rId9">
              <w:r w:rsidR="00F95ACF" w:rsidRPr="00A43884">
                <w:rPr>
                  <w:rFonts w:eastAsia="DM Sans" w:cs="DM Sans"/>
                  <w:b/>
                  <w:bCs/>
                  <w:color w:val="C5299B"/>
                  <w:u w:val="single"/>
                </w:rPr>
                <w:t>Let us handle the rest</w:t>
              </w:r>
            </w:hyperlink>
            <w:r w:rsidRPr="00A43884">
              <w:rPr>
                <w:rFonts w:eastAsia="DM Sans" w:cs="DM Sans"/>
                <w:color w:val="211551"/>
              </w:rPr>
              <w:t xml:space="preserve">. </w:t>
            </w:r>
          </w:p>
        </w:tc>
      </w:tr>
    </w:tbl>
    <w:p w14:paraId="240694C1" w14:textId="0D9CB882" w:rsidR="00F95ACF" w:rsidRPr="00A43884" w:rsidRDefault="00000000">
      <w:pPr>
        <w:spacing w:before="120" w:after="120" w:line="300" w:lineRule="auto"/>
        <w:rPr>
          <w:rFonts w:eastAsia="Montserrat Bold" w:cs="Montserrat Bold"/>
          <w:b/>
          <w:bCs/>
          <w:color w:val="C5299B"/>
          <w:sz w:val="26"/>
          <w:szCs w:val="26"/>
        </w:rPr>
      </w:pPr>
      <w:r w:rsidRPr="00A43884">
        <w:rPr>
          <w:rFonts w:eastAsia="Montserrat Bold" w:cs="Montserrat Bold"/>
          <w:b/>
          <w:bCs/>
          <w:color w:val="C5299B"/>
          <w:sz w:val="26"/>
          <w:szCs w:val="26"/>
        </w:rPr>
        <w:t xml:space="preserve"> </w:t>
      </w:r>
    </w:p>
    <w:tbl>
      <w:tblPr>
        <w:tblW w:w="9360" w:type="dxa"/>
        <w:tblInd w:w="45" w:type="dxa"/>
        <w:tblBorders>
          <w:top w:val="single" w:sz="3" w:space="0" w:color="211551"/>
          <w:left w:val="single" w:sz="3" w:space="0" w:color="211551"/>
          <w:bottom w:val="single" w:sz="3" w:space="0" w:color="211551"/>
          <w:right w:val="single" w:sz="3" w:space="0" w:color="211551"/>
          <w:insideH w:val="single" w:sz="3" w:space="0" w:color="211551"/>
          <w:insideV w:val="single" w:sz="3" w:space="0" w:color="211551"/>
        </w:tblBorders>
        <w:tblCellMar>
          <w:left w:w="10" w:type="dxa"/>
          <w:right w:w="10" w:type="dxa"/>
        </w:tblCellMar>
        <w:tblLook w:val="04A0" w:firstRow="1" w:lastRow="0" w:firstColumn="1" w:lastColumn="0" w:noHBand="0" w:noVBand="1"/>
      </w:tblPr>
      <w:tblGrid>
        <w:gridCol w:w="630"/>
        <w:gridCol w:w="8730"/>
      </w:tblGrid>
      <w:tr w:rsidR="00145E9A" w:rsidRPr="00A43884" w14:paraId="7DF16408" w14:textId="77777777" w:rsidTr="00145E9A">
        <w:tc>
          <w:tcPr>
            <w:tcW w:w="630" w:type="dxa"/>
            <w:shd w:val="clear" w:color="auto" w:fill="F2F2F2" w:themeFill="background1" w:themeFillShade="F2"/>
            <w:tcMar>
              <w:top w:w="45" w:type="dxa"/>
              <w:left w:w="45" w:type="dxa"/>
              <w:bottom w:w="45" w:type="dxa"/>
              <w:right w:w="45" w:type="dxa"/>
            </w:tcMar>
          </w:tcPr>
          <w:p w14:paraId="2094BAC0" w14:textId="77777777" w:rsidR="003453F1" w:rsidRPr="00A43884" w:rsidRDefault="003453F1" w:rsidP="00145E9A">
            <w:pPr>
              <w:spacing w:after="0" w:line="240" w:lineRule="auto"/>
              <w:jc w:val="center"/>
              <w:rPr>
                <w:color w:val="D9D9D9" w:themeColor="background1" w:themeShade="D9"/>
                <w:sz w:val="56"/>
                <w:szCs w:val="56"/>
              </w:rPr>
            </w:pPr>
          </w:p>
          <w:p w14:paraId="37DECA1B" w14:textId="55AE7393" w:rsidR="00145E9A" w:rsidRPr="00A43884" w:rsidRDefault="00145E9A" w:rsidP="00145E9A">
            <w:pPr>
              <w:spacing w:after="0" w:line="240" w:lineRule="auto"/>
              <w:jc w:val="center"/>
              <w:rPr>
                <w:rFonts w:eastAsia="DM Sans Bold" w:cs="DM Sans Bold"/>
                <w:color w:val="262626" w:themeColor="text1" w:themeTint="D9"/>
                <w:sz w:val="20"/>
                <w:szCs w:val="20"/>
              </w:rPr>
            </w:pPr>
            <w:r w:rsidRPr="00A43884">
              <w:rPr>
                <w:color w:val="D9D9D9" w:themeColor="background1" w:themeShade="D9"/>
                <w:sz w:val="48"/>
                <w:szCs w:val="48"/>
              </w:rPr>
              <w:t>o</w:t>
            </w:r>
          </w:p>
        </w:tc>
        <w:tc>
          <w:tcPr>
            <w:tcW w:w="8730" w:type="dxa"/>
            <w:tcMar>
              <w:top w:w="45" w:type="dxa"/>
              <w:left w:w="45" w:type="dxa"/>
              <w:bottom w:w="45" w:type="dxa"/>
              <w:right w:w="45" w:type="dxa"/>
            </w:tcMar>
          </w:tcPr>
          <w:p w14:paraId="28FC36A7" w14:textId="49C02461" w:rsidR="00145E9A" w:rsidRPr="00A43884" w:rsidRDefault="00145E9A" w:rsidP="00145E9A">
            <w:pPr>
              <w:spacing w:before="120" w:after="120" w:line="300" w:lineRule="auto"/>
              <w:rPr>
                <w:rFonts w:eastAsia="Montserrat Bold" w:cs="Montserrat Bold"/>
                <w:b/>
                <w:bCs/>
                <w:color w:val="1F1551"/>
                <w:sz w:val="26"/>
                <w:szCs w:val="26"/>
              </w:rPr>
            </w:pPr>
            <w:r w:rsidRPr="00A43884">
              <w:rPr>
                <w:rFonts w:eastAsia="Montserrat Bold" w:cs="Montserrat Bold"/>
                <w:b/>
                <w:bCs/>
                <w:color w:val="1F1551"/>
                <w:sz w:val="26"/>
                <w:szCs w:val="26"/>
              </w:rPr>
              <w:t>DOUBLE CHECK KEY INFORMATION</w:t>
            </w:r>
          </w:p>
          <w:p w14:paraId="78FC3104" w14:textId="4DBF94E6" w:rsidR="00145E9A" w:rsidRPr="00A43884" w:rsidRDefault="00145E9A" w:rsidP="003453F1">
            <w:pPr>
              <w:spacing w:before="120" w:after="120" w:line="240" w:lineRule="auto"/>
              <w:rPr>
                <w:rFonts w:eastAsia="Montserrat Bold" w:cs="Montserrat Bold"/>
                <w:color w:val="C5299B"/>
                <w:sz w:val="26"/>
                <w:szCs w:val="26"/>
              </w:rPr>
            </w:pPr>
            <w:r w:rsidRPr="00A43884">
              <w:rPr>
                <w:rFonts w:eastAsia="Calibri"/>
                <w:sz w:val="21"/>
                <w:szCs w:val="21"/>
                <w:lang w:val="en-GB"/>
              </w:rPr>
              <w:t>We’re sure you’ve checked once but double-check the event date and time in the contract,</w:t>
            </w:r>
            <w:r w:rsidR="00BB0A5E" w:rsidRPr="00A43884">
              <w:rPr>
                <w:rFonts w:eastAsia="Calibri"/>
                <w:sz w:val="21"/>
                <w:szCs w:val="21"/>
                <w:lang w:val="en-GB"/>
              </w:rPr>
              <w:t xml:space="preserve"> </w:t>
            </w:r>
            <w:r w:rsidRPr="00A43884">
              <w:rPr>
                <w:rFonts w:eastAsia="Calibri"/>
                <w:sz w:val="21"/>
                <w:szCs w:val="21"/>
                <w:lang w:val="en-GB"/>
              </w:rPr>
              <w:t>including setup and teardown periods, is correct. Also, confirm the price, venue name, and</w:t>
            </w:r>
            <w:r w:rsidR="003453F1" w:rsidRPr="00A43884">
              <w:rPr>
                <w:rFonts w:eastAsia="Calibri"/>
                <w:sz w:val="21"/>
                <w:szCs w:val="21"/>
                <w:lang w:val="en-GB"/>
              </w:rPr>
              <w:t xml:space="preserve"> </w:t>
            </w:r>
            <w:r w:rsidRPr="00A43884">
              <w:rPr>
                <w:rFonts w:eastAsia="Calibri"/>
                <w:sz w:val="21"/>
                <w:szCs w:val="21"/>
                <w:lang w:val="en-GB"/>
              </w:rPr>
              <w:t>address (since some venues have similar names). This will come before force majeure in</w:t>
            </w:r>
            <w:r w:rsidR="003453F1" w:rsidRPr="00A43884">
              <w:rPr>
                <w:rFonts w:eastAsia="Calibri"/>
                <w:sz w:val="21"/>
                <w:szCs w:val="21"/>
                <w:lang w:val="en-GB"/>
              </w:rPr>
              <w:t xml:space="preserve"> </w:t>
            </w:r>
            <w:r w:rsidRPr="00A43884">
              <w:rPr>
                <w:rFonts w:eastAsia="Calibri"/>
                <w:sz w:val="21"/>
                <w:szCs w:val="21"/>
                <w:lang w:val="en-GB"/>
              </w:rPr>
              <w:t>most contracts</w:t>
            </w:r>
            <w:r w:rsidR="00FB25A3" w:rsidRPr="00A43884">
              <w:rPr>
                <w:rFonts w:eastAsia="Calibri"/>
                <w:sz w:val="21"/>
                <w:szCs w:val="21"/>
                <w:lang w:val="en-GB"/>
              </w:rPr>
              <w:t>.</w:t>
            </w:r>
          </w:p>
        </w:tc>
      </w:tr>
    </w:tbl>
    <w:p w14:paraId="067B00EA" w14:textId="77777777" w:rsidR="00145E9A" w:rsidRPr="00A43884" w:rsidRDefault="00145E9A">
      <w:pPr>
        <w:spacing w:before="120" w:after="120" w:line="300" w:lineRule="auto"/>
      </w:pPr>
    </w:p>
    <w:tbl>
      <w:tblPr>
        <w:tblW w:w="9360" w:type="dxa"/>
        <w:tblInd w:w="45" w:type="dxa"/>
        <w:tblBorders>
          <w:top w:val="single" w:sz="3" w:space="0" w:color="211551"/>
          <w:left w:val="single" w:sz="3" w:space="0" w:color="211551"/>
          <w:bottom w:val="single" w:sz="3" w:space="0" w:color="211551"/>
          <w:right w:val="single" w:sz="3" w:space="0" w:color="211551"/>
          <w:insideH w:val="single" w:sz="3" w:space="0" w:color="211551"/>
          <w:insideV w:val="single" w:sz="3" w:space="0" w:color="211551"/>
        </w:tblBorders>
        <w:tblCellMar>
          <w:left w:w="10" w:type="dxa"/>
          <w:right w:w="10" w:type="dxa"/>
        </w:tblCellMar>
        <w:tblLook w:val="04A0" w:firstRow="1" w:lastRow="0" w:firstColumn="1" w:lastColumn="0" w:noHBand="0" w:noVBand="1"/>
      </w:tblPr>
      <w:tblGrid>
        <w:gridCol w:w="630"/>
        <w:gridCol w:w="8730"/>
      </w:tblGrid>
      <w:tr w:rsidR="003453F1" w:rsidRPr="00A43884" w14:paraId="24679145" w14:textId="77777777" w:rsidTr="007D5A50">
        <w:tc>
          <w:tcPr>
            <w:tcW w:w="630" w:type="dxa"/>
            <w:shd w:val="clear" w:color="auto" w:fill="F2F2F2" w:themeFill="background1" w:themeFillShade="F2"/>
            <w:tcMar>
              <w:top w:w="45" w:type="dxa"/>
              <w:left w:w="45" w:type="dxa"/>
              <w:bottom w:w="45" w:type="dxa"/>
              <w:right w:w="45" w:type="dxa"/>
            </w:tcMar>
          </w:tcPr>
          <w:p w14:paraId="0070426B" w14:textId="77777777" w:rsidR="003453F1" w:rsidRPr="00A43884" w:rsidRDefault="003453F1" w:rsidP="007D5A50">
            <w:pPr>
              <w:spacing w:after="0" w:line="240" w:lineRule="auto"/>
              <w:jc w:val="center"/>
              <w:rPr>
                <w:color w:val="D9D9D9" w:themeColor="background1" w:themeShade="D9"/>
                <w:sz w:val="48"/>
                <w:szCs w:val="48"/>
              </w:rPr>
            </w:pPr>
          </w:p>
          <w:p w14:paraId="6DB0BCF0" w14:textId="77777777" w:rsidR="003453F1" w:rsidRPr="00A43884" w:rsidRDefault="003453F1" w:rsidP="007D5A50">
            <w:pPr>
              <w:spacing w:after="0" w:line="240" w:lineRule="auto"/>
              <w:jc w:val="center"/>
              <w:rPr>
                <w:rFonts w:eastAsia="DM Sans Bold" w:cs="DM Sans Bold"/>
                <w:color w:val="262626" w:themeColor="text1" w:themeTint="D9"/>
                <w:sz w:val="20"/>
                <w:szCs w:val="20"/>
              </w:rPr>
            </w:pPr>
            <w:r w:rsidRPr="00A43884">
              <w:rPr>
                <w:color w:val="D9D9D9" w:themeColor="background1" w:themeShade="D9"/>
                <w:sz w:val="48"/>
                <w:szCs w:val="48"/>
              </w:rPr>
              <w:t>o</w:t>
            </w:r>
          </w:p>
        </w:tc>
        <w:tc>
          <w:tcPr>
            <w:tcW w:w="8730" w:type="dxa"/>
            <w:tcMar>
              <w:top w:w="45" w:type="dxa"/>
              <w:left w:w="45" w:type="dxa"/>
              <w:bottom w:w="45" w:type="dxa"/>
              <w:right w:w="45" w:type="dxa"/>
            </w:tcMar>
          </w:tcPr>
          <w:p w14:paraId="304D3AA0" w14:textId="37AC09AE" w:rsidR="003453F1" w:rsidRPr="00A43884" w:rsidRDefault="003453F1" w:rsidP="007D5A50">
            <w:pPr>
              <w:spacing w:before="120" w:after="120" w:line="300" w:lineRule="auto"/>
              <w:rPr>
                <w:rFonts w:eastAsia="Montserrat Bold" w:cs="Montserrat Bold"/>
                <w:b/>
                <w:bCs/>
                <w:color w:val="1F1551"/>
                <w:sz w:val="26"/>
                <w:szCs w:val="26"/>
              </w:rPr>
            </w:pPr>
            <w:r w:rsidRPr="00A43884">
              <w:rPr>
                <w:rFonts w:eastAsia="Montserrat Bold" w:cs="Montserrat Bold"/>
                <w:b/>
                <w:bCs/>
                <w:color w:val="1F1551"/>
                <w:sz w:val="26"/>
                <w:szCs w:val="26"/>
              </w:rPr>
              <w:t>REVIEW FORCE MAJEURE CLAUSE</w:t>
            </w:r>
          </w:p>
          <w:p w14:paraId="1DCEDFAC" w14:textId="35F29E34" w:rsidR="003453F1" w:rsidRPr="00A43884" w:rsidRDefault="003453F1" w:rsidP="007D5A50">
            <w:pPr>
              <w:spacing w:before="120" w:after="120" w:line="240" w:lineRule="auto"/>
              <w:rPr>
                <w:rFonts w:eastAsia="Montserrat Bold" w:cs="Montserrat Bold"/>
                <w:color w:val="C5299B"/>
                <w:sz w:val="26"/>
                <w:szCs w:val="26"/>
              </w:rPr>
            </w:pPr>
            <w:r w:rsidRPr="00A43884">
              <w:rPr>
                <w:rFonts w:eastAsia="Calibri"/>
                <w:sz w:val="21"/>
                <w:szCs w:val="21"/>
                <w:lang w:val="en-GB"/>
              </w:rPr>
              <w:t>Take a moment to review the force majeure clause. Make sure it covers everything you</w:t>
            </w:r>
            <w:r w:rsidR="00BB0A5E" w:rsidRPr="00A43884">
              <w:rPr>
                <w:rFonts w:eastAsia="Calibri"/>
                <w:sz w:val="21"/>
                <w:szCs w:val="21"/>
                <w:lang w:val="en-GB"/>
              </w:rPr>
              <w:t xml:space="preserve"> </w:t>
            </w:r>
            <w:r w:rsidRPr="00A43884">
              <w:rPr>
                <w:rFonts w:eastAsia="Calibri"/>
                <w:sz w:val="21"/>
                <w:szCs w:val="21"/>
                <w:lang w:val="en-GB"/>
              </w:rPr>
              <w:t>need, including cancellation/reselling or rebooking due to unforeseen events. Check the notification</w:t>
            </w:r>
            <w:r w:rsidR="00BB0A5E" w:rsidRPr="00A43884">
              <w:rPr>
                <w:rFonts w:eastAsia="Calibri"/>
                <w:sz w:val="21"/>
                <w:szCs w:val="21"/>
                <w:lang w:val="en-GB"/>
              </w:rPr>
              <w:t xml:space="preserve"> </w:t>
            </w:r>
            <w:r w:rsidRPr="00A43884">
              <w:rPr>
                <w:rFonts w:eastAsia="Calibri"/>
                <w:sz w:val="21"/>
                <w:szCs w:val="21"/>
                <w:lang w:val="en-GB"/>
              </w:rPr>
              <w:t>procedures are clear.</w:t>
            </w:r>
          </w:p>
        </w:tc>
      </w:tr>
    </w:tbl>
    <w:p w14:paraId="7AE36395" w14:textId="77777777" w:rsidR="003453F1" w:rsidRPr="00A43884" w:rsidRDefault="003453F1">
      <w:pPr>
        <w:spacing w:before="120" w:after="120" w:line="300" w:lineRule="auto"/>
      </w:pPr>
    </w:p>
    <w:tbl>
      <w:tblPr>
        <w:tblW w:w="9360" w:type="dxa"/>
        <w:tblInd w:w="45" w:type="dxa"/>
        <w:tblBorders>
          <w:top w:val="single" w:sz="3" w:space="0" w:color="211551"/>
          <w:left w:val="single" w:sz="3" w:space="0" w:color="211551"/>
          <w:bottom w:val="single" w:sz="3" w:space="0" w:color="211551"/>
          <w:right w:val="single" w:sz="3" w:space="0" w:color="211551"/>
          <w:insideH w:val="single" w:sz="3" w:space="0" w:color="211551"/>
          <w:insideV w:val="single" w:sz="3" w:space="0" w:color="211551"/>
        </w:tblBorders>
        <w:tblCellMar>
          <w:left w:w="10" w:type="dxa"/>
          <w:right w:w="10" w:type="dxa"/>
        </w:tblCellMar>
        <w:tblLook w:val="04A0" w:firstRow="1" w:lastRow="0" w:firstColumn="1" w:lastColumn="0" w:noHBand="0" w:noVBand="1"/>
      </w:tblPr>
      <w:tblGrid>
        <w:gridCol w:w="630"/>
        <w:gridCol w:w="8730"/>
      </w:tblGrid>
      <w:tr w:rsidR="003453F1" w:rsidRPr="00A43884" w14:paraId="4BB8C05B" w14:textId="77777777" w:rsidTr="007D5A50">
        <w:tc>
          <w:tcPr>
            <w:tcW w:w="630" w:type="dxa"/>
            <w:shd w:val="clear" w:color="auto" w:fill="F2F2F2" w:themeFill="background1" w:themeFillShade="F2"/>
            <w:tcMar>
              <w:top w:w="45" w:type="dxa"/>
              <w:left w:w="45" w:type="dxa"/>
              <w:bottom w:w="45" w:type="dxa"/>
              <w:right w:w="45" w:type="dxa"/>
            </w:tcMar>
          </w:tcPr>
          <w:p w14:paraId="0D6364F6" w14:textId="0E7109A8" w:rsidR="003453F1" w:rsidRPr="00A43884" w:rsidRDefault="003453F1" w:rsidP="003453F1">
            <w:pPr>
              <w:spacing w:after="0" w:line="240" w:lineRule="auto"/>
              <w:jc w:val="center"/>
              <w:rPr>
                <w:rFonts w:eastAsia="DM Sans Bold" w:cs="DM Sans Bold"/>
                <w:color w:val="262626" w:themeColor="text1" w:themeTint="D9"/>
                <w:sz w:val="20"/>
                <w:szCs w:val="20"/>
              </w:rPr>
            </w:pPr>
            <w:r w:rsidRPr="00A43884">
              <w:rPr>
                <w:color w:val="D9D9D9" w:themeColor="background1" w:themeShade="D9"/>
                <w:sz w:val="36"/>
                <w:szCs w:val="36"/>
              </w:rPr>
              <w:br/>
            </w:r>
            <w:r w:rsidRPr="00A43884">
              <w:rPr>
                <w:color w:val="D9D9D9" w:themeColor="background1" w:themeShade="D9"/>
                <w:sz w:val="48"/>
                <w:szCs w:val="48"/>
              </w:rPr>
              <w:t>o</w:t>
            </w:r>
          </w:p>
        </w:tc>
        <w:tc>
          <w:tcPr>
            <w:tcW w:w="8730" w:type="dxa"/>
            <w:tcMar>
              <w:top w:w="45" w:type="dxa"/>
              <w:left w:w="45" w:type="dxa"/>
              <w:bottom w:w="45" w:type="dxa"/>
              <w:right w:w="45" w:type="dxa"/>
            </w:tcMar>
          </w:tcPr>
          <w:p w14:paraId="3924FC39" w14:textId="42E0266A" w:rsidR="003453F1" w:rsidRPr="00A43884" w:rsidRDefault="003453F1" w:rsidP="007D5A50">
            <w:pPr>
              <w:spacing w:before="120" w:after="120" w:line="300" w:lineRule="auto"/>
              <w:rPr>
                <w:rFonts w:eastAsia="Montserrat Bold" w:cs="Montserrat Bold"/>
                <w:b/>
                <w:bCs/>
                <w:color w:val="1F1551"/>
                <w:sz w:val="26"/>
                <w:szCs w:val="26"/>
              </w:rPr>
            </w:pPr>
            <w:r w:rsidRPr="00A43884">
              <w:rPr>
                <w:rFonts w:eastAsia="Montserrat Bold" w:cs="Montserrat Bold"/>
                <w:b/>
                <w:bCs/>
                <w:color w:val="1F1551"/>
                <w:sz w:val="26"/>
                <w:szCs w:val="26"/>
              </w:rPr>
              <w:t>CANCELLATION POLICIES AND PAYMENT TERMS</w:t>
            </w:r>
          </w:p>
          <w:p w14:paraId="5AECDBCA" w14:textId="30803E3B" w:rsidR="003453F1" w:rsidRPr="00A43884" w:rsidRDefault="003453F1" w:rsidP="007D5A50">
            <w:pPr>
              <w:spacing w:before="120" w:after="120" w:line="240" w:lineRule="auto"/>
              <w:rPr>
                <w:rFonts w:eastAsia="Montserrat Bold" w:cs="Montserrat Bold"/>
                <w:color w:val="C5299B"/>
                <w:sz w:val="26"/>
                <w:szCs w:val="26"/>
              </w:rPr>
            </w:pPr>
            <w:r w:rsidRPr="00A43884">
              <w:rPr>
                <w:rFonts w:eastAsia="Calibri"/>
                <w:sz w:val="21"/>
                <w:szCs w:val="21"/>
                <w:lang w:val="en-GB"/>
              </w:rPr>
              <w:t>Confirm the cancellation and reselling policy, including deadlines for refunds or penalties. Clarify payment schedules, including deposits and final payments.</w:t>
            </w:r>
          </w:p>
        </w:tc>
      </w:tr>
      <w:tr w:rsidR="003453F1" w:rsidRPr="00A43884" w14:paraId="16EDC74B" w14:textId="77777777" w:rsidTr="003453F1">
        <w:tc>
          <w:tcPr>
            <w:tcW w:w="630" w:type="dxa"/>
            <w:tcBorders>
              <w:top w:val="single" w:sz="3" w:space="0" w:color="211551"/>
              <w:left w:val="single" w:sz="3" w:space="0" w:color="211551"/>
              <w:bottom w:val="single" w:sz="3" w:space="0" w:color="211551"/>
              <w:right w:val="single" w:sz="3" w:space="0" w:color="211551"/>
            </w:tcBorders>
            <w:shd w:val="clear" w:color="auto" w:fill="F2F2F2" w:themeFill="background1" w:themeFillShade="F2"/>
            <w:tcMar>
              <w:top w:w="45" w:type="dxa"/>
              <w:left w:w="45" w:type="dxa"/>
              <w:bottom w:w="45" w:type="dxa"/>
              <w:right w:w="45" w:type="dxa"/>
            </w:tcMar>
          </w:tcPr>
          <w:p w14:paraId="3214DAB6" w14:textId="1C8E18B8" w:rsidR="003453F1" w:rsidRPr="00A43884" w:rsidRDefault="003453F1" w:rsidP="003453F1">
            <w:pPr>
              <w:spacing w:after="0" w:line="240" w:lineRule="auto"/>
              <w:jc w:val="center"/>
              <w:rPr>
                <w:color w:val="D9D9D9" w:themeColor="background1" w:themeShade="D9"/>
                <w:sz w:val="36"/>
                <w:szCs w:val="36"/>
              </w:rPr>
            </w:pPr>
            <w:r w:rsidRPr="00A43884">
              <w:rPr>
                <w:color w:val="D9D9D9" w:themeColor="background1" w:themeShade="D9"/>
                <w:sz w:val="36"/>
                <w:szCs w:val="36"/>
              </w:rPr>
              <w:br/>
            </w:r>
            <w:r w:rsidRPr="00A43884">
              <w:rPr>
                <w:color w:val="D9D9D9" w:themeColor="background1" w:themeShade="D9"/>
                <w:sz w:val="48"/>
                <w:szCs w:val="48"/>
              </w:rPr>
              <w:t>o</w:t>
            </w:r>
          </w:p>
        </w:tc>
        <w:tc>
          <w:tcPr>
            <w:tcW w:w="8730" w:type="dxa"/>
            <w:tcBorders>
              <w:top w:val="single" w:sz="3" w:space="0" w:color="211551"/>
              <w:left w:val="single" w:sz="3" w:space="0" w:color="211551"/>
              <w:bottom w:val="single" w:sz="3" w:space="0" w:color="211551"/>
              <w:right w:val="single" w:sz="3" w:space="0" w:color="211551"/>
            </w:tcBorders>
            <w:tcMar>
              <w:top w:w="45" w:type="dxa"/>
              <w:left w:w="45" w:type="dxa"/>
              <w:bottom w:w="45" w:type="dxa"/>
              <w:right w:w="45" w:type="dxa"/>
            </w:tcMar>
          </w:tcPr>
          <w:p w14:paraId="65174178" w14:textId="2C2E8734" w:rsidR="003453F1" w:rsidRPr="00A43884" w:rsidRDefault="003453F1" w:rsidP="007D5A50">
            <w:pPr>
              <w:spacing w:before="120" w:after="120" w:line="300" w:lineRule="auto"/>
              <w:rPr>
                <w:rFonts w:eastAsia="Montserrat Bold" w:cs="Montserrat Bold"/>
                <w:b/>
                <w:bCs/>
                <w:color w:val="1F1551"/>
                <w:sz w:val="26"/>
                <w:szCs w:val="26"/>
              </w:rPr>
            </w:pPr>
            <w:r w:rsidRPr="00A43884">
              <w:rPr>
                <w:rFonts w:eastAsia="Montserrat Bold" w:cs="Montserrat Bold"/>
                <w:b/>
                <w:bCs/>
                <w:color w:val="1F1551"/>
                <w:sz w:val="26"/>
                <w:szCs w:val="26"/>
              </w:rPr>
              <w:t>LIABILITY AND INSURANCE</w:t>
            </w:r>
          </w:p>
          <w:p w14:paraId="48379221" w14:textId="38014ED3" w:rsidR="003453F1" w:rsidRPr="00A43884" w:rsidRDefault="003453F1" w:rsidP="003453F1">
            <w:pPr>
              <w:spacing w:before="120" w:after="120" w:line="240" w:lineRule="auto"/>
              <w:rPr>
                <w:rFonts w:eastAsia="Montserrat Bold" w:cs="Montserrat Bold"/>
                <w:b/>
                <w:bCs/>
                <w:color w:val="C5299B"/>
                <w:sz w:val="26"/>
                <w:szCs w:val="26"/>
              </w:rPr>
            </w:pPr>
            <w:r w:rsidRPr="00A43884">
              <w:rPr>
                <w:rFonts w:eastAsia="Calibri"/>
                <w:sz w:val="21"/>
                <w:szCs w:val="21"/>
                <w:lang w:val="en-GB"/>
              </w:rPr>
              <w:t>Check liability requirements and clarify responsibilities for damages. Determine if additional insurance is needed.</w:t>
            </w:r>
          </w:p>
        </w:tc>
      </w:tr>
    </w:tbl>
    <w:p w14:paraId="04A88220" w14:textId="77777777" w:rsidR="003453F1" w:rsidRPr="00A43884" w:rsidRDefault="003453F1">
      <w:pPr>
        <w:spacing w:before="120" w:after="120" w:line="300" w:lineRule="auto"/>
      </w:pPr>
    </w:p>
    <w:tbl>
      <w:tblPr>
        <w:tblW w:w="9360" w:type="dxa"/>
        <w:tblInd w:w="45" w:type="dxa"/>
        <w:tblBorders>
          <w:top w:val="single" w:sz="3" w:space="0" w:color="211551"/>
          <w:left w:val="single" w:sz="3" w:space="0" w:color="211551"/>
          <w:bottom w:val="single" w:sz="3" w:space="0" w:color="211551"/>
          <w:right w:val="single" w:sz="3" w:space="0" w:color="211551"/>
          <w:insideH w:val="single" w:sz="3" w:space="0" w:color="211551"/>
          <w:insideV w:val="single" w:sz="3" w:space="0" w:color="211551"/>
        </w:tblBorders>
        <w:tblCellMar>
          <w:left w:w="10" w:type="dxa"/>
          <w:right w:w="10" w:type="dxa"/>
        </w:tblCellMar>
        <w:tblLook w:val="04A0" w:firstRow="1" w:lastRow="0" w:firstColumn="1" w:lastColumn="0" w:noHBand="0" w:noVBand="1"/>
      </w:tblPr>
      <w:tblGrid>
        <w:gridCol w:w="630"/>
        <w:gridCol w:w="8730"/>
      </w:tblGrid>
      <w:tr w:rsidR="00010EE7" w:rsidRPr="00A43884" w14:paraId="3A2A75F6" w14:textId="77777777" w:rsidTr="007D5A50">
        <w:tc>
          <w:tcPr>
            <w:tcW w:w="630" w:type="dxa"/>
            <w:tcBorders>
              <w:top w:val="single" w:sz="3" w:space="0" w:color="211551"/>
              <w:left w:val="single" w:sz="3" w:space="0" w:color="211551"/>
              <w:bottom w:val="single" w:sz="3" w:space="0" w:color="211551"/>
              <w:right w:val="single" w:sz="3" w:space="0" w:color="211551"/>
            </w:tcBorders>
            <w:shd w:val="clear" w:color="auto" w:fill="F2F2F2" w:themeFill="background1" w:themeFillShade="F2"/>
            <w:tcMar>
              <w:top w:w="45" w:type="dxa"/>
              <w:left w:w="45" w:type="dxa"/>
              <w:bottom w:w="45" w:type="dxa"/>
              <w:right w:w="45" w:type="dxa"/>
            </w:tcMar>
          </w:tcPr>
          <w:p w14:paraId="3AA7AD1E" w14:textId="77777777" w:rsidR="00010EE7" w:rsidRPr="00A43884" w:rsidRDefault="00010EE7" w:rsidP="007D5A50">
            <w:pPr>
              <w:spacing w:after="0" w:line="240" w:lineRule="auto"/>
              <w:jc w:val="center"/>
              <w:rPr>
                <w:color w:val="D9D9D9" w:themeColor="background1" w:themeShade="D9"/>
                <w:sz w:val="36"/>
                <w:szCs w:val="36"/>
              </w:rPr>
            </w:pPr>
            <w:r w:rsidRPr="00A43884">
              <w:rPr>
                <w:color w:val="D9D9D9" w:themeColor="background1" w:themeShade="D9"/>
                <w:sz w:val="36"/>
                <w:szCs w:val="36"/>
              </w:rPr>
              <w:lastRenderedPageBreak/>
              <w:br/>
            </w:r>
            <w:r w:rsidRPr="00A43884">
              <w:rPr>
                <w:color w:val="D9D9D9" w:themeColor="background1" w:themeShade="D9"/>
                <w:sz w:val="48"/>
                <w:szCs w:val="48"/>
              </w:rPr>
              <w:t>o</w:t>
            </w:r>
          </w:p>
        </w:tc>
        <w:tc>
          <w:tcPr>
            <w:tcW w:w="8730" w:type="dxa"/>
            <w:tcBorders>
              <w:top w:val="single" w:sz="3" w:space="0" w:color="211551"/>
              <w:left w:val="single" w:sz="3" w:space="0" w:color="211551"/>
              <w:bottom w:val="single" w:sz="3" w:space="0" w:color="211551"/>
              <w:right w:val="single" w:sz="3" w:space="0" w:color="211551"/>
            </w:tcBorders>
            <w:tcMar>
              <w:top w:w="45" w:type="dxa"/>
              <w:left w:w="45" w:type="dxa"/>
              <w:bottom w:w="45" w:type="dxa"/>
              <w:right w:w="45" w:type="dxa"/>
            </w:tcMar>
          </w:tcPr>
          <w:p w14:paraId="4DA91B55" w14:textId="2539BADD" w:rsidR="00010EE7" w:rsidRPr="00A43884" w:rsidRDefault="00010EE7" w:rsidP="007D5A50">
            <w:pPr>
              <w:spacing w:before="120" w:after="120" w:line="300" w:lineRule="auto"/>
              <w:rPr>
                <w:rFonts w:eastAsia="Montserrat Bold" w:cs="Montserrat Bold"/>
                <w:b/>
                <w:bCs/>
                <w:color w:val="1F1551"/>
                <w:sz w:val="26"/>
                <w:szCs w:val="26"/>
              </w:rPr>
            </w:pPr>
            <w:r w:rsidRPr="00A43884">
              <w:rPr>
                <w:rFonts w:eastAsia="Montserrat Bold" w:cs="Montserrat Bold"/>
                <w:b/>
                <w:bCs/>
                <w:color w:val="1F1551"/>
                <w:sz w:val="26"/>
                <w:szCs w:val="26"/>
              </w:rPr>
              <w:t>SIGNATURE AND DOCUMENTATION</w:t>
            </w:r>
          </w:p>
          <w:p w14:paraId="6B8A7800" w14:textId="73609EEF" w:rsidR="00010EE7" w:rsidRPr="00A43884" w:rsidRDefault="00010EE7" w:rsidP="007D5A50">
            <w:pPr>
              <w:spacing w:before="120" w:after="120" w:line="240" w:lineRule="auto"/>
              <w:rPr>
                <w:rFonts w:eastAsia="Montserrat Bold" w:cs="Montserrat Bold"/>
                <w:b/>
                <w:bCs/>
                <w:color w:val="C5299B"/>
                <w:sz w:val="26"/>
                <w:szCs w:val="26"/>
              </w:rPr>
            </w:pPr>
            <w:r w:rsidRPr="00A43884">
              <w:rPr>
                <w:rFonts w:eastAsia="Calibri"/>
                <w:sz w:val="21"/>
                <w:szCs w:val="21"/>
                <w:lang w:val="en-GB"/>
              </w:rPr>
              <w:t>Ensure all parties sign the contract with the date included. Maintain copies of all signed contracts and amendments for reference.</w:t>
            </w:r>
          </w:p>
        </w:tc>
      </w:tr>
    </w:tbl>
    <w:p w14:paraId="09FC2FD1" w14:textId="77777777" w:rsidR="00010EE7" w:rsidRPr="00A43884" w:rsidRDefault="00010EE7" w:rsidP="00010EE7">
      <w:pPr>
        <w:spacing w:before="120" w:after="120" w:line="300" w:lineRule="auto"/>
        <w:rPr>
          <w:sz w:val="2"/>
          <w:szCs w:val="2"/>
        </w:rPr>
      </w:pPr>
    </w:p>
    <w:p w14:paraId="55A8285E" w14:textId="7C1AB7BD" w:rsidR="00472F64" w:rsidRPr="00A43884" w:rsidRDefault="00731342" w:rsidP="00472F64">
      <w:pPr>
        <w:spacing w:before="120" w:after="120" w:line="240" w:lineRule="auto"/>
        <w:ind w:left="720"/>
        <w:rPr>
          <w:rFonts w:eastAsia="DM Sans" w:cs="DM Sans"/>
          <w:b/>
          <w:bCs/>
          <w:color w:val="C5299B"/>
          <w:sz w:val="21"/>
          <w:szCs w:val="21"/>
        </w:rPr>
      </w:pPr>
      <w:r w:rsidRPr="00A43884">
        <w:rPr>
          <w:rFonts w:eastAsia="Montserrat Bold" w:cs="Montserrat Bold"/>
          <w:b/>
          <w:bCs/>
          <w:noProof/>
          <w:color w:val="C5299B"/>
          <w:sz w:val="20"/>
          <w:szCs w:val="18"/>
        </w:rPr>
        <w:drawing>
          <wp:anchor distT="0" distB="0" distL="114300" distR="114300" simplePos="0" relativeHeight="251660288" behindDoc="0" locked="0" layoutInCell="1" allowOverlap="1" wp14:anchorId="058F7C0E" wp14:editId="13AA9BAD">
            <wp:simplePos x="0" y="0"/>
            <wp:positionH relativeFrom="column">
              <wp:posOffset>0</wp:posOffset>
            </wp:positionH>
            <wp:positionV relativeFrom="paragraph">
              <wp:posOffset>196215</wp:posOffset>
            </wp:positionV>
            <wp:extent cx="430530" cy="430530"/>
            <wp:effectExtent l="0" t="0" r="7620" b="7620"/>
            <wp:wrapNone/>
            <wp:docPr id="1258222711" name="Graphic 3" descr="Badge Ne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222711" name="Graphic 3" descr="Badge New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430530" cy="430530"/>
                    </a:xfrm>
                    <a:prstGeom prst="rect">
                      <a:avLst/>
                    </a:prstGeom>
                  </pic:spPr>
                </pic:pic>
              </a:graphicData>
            </a:graphic>
            <wp14:sizeRelH relativeFrom="page">
              <wp14:pctWidth>0</wp14:pctWidth>
            </wp14:sizeRelH>
            <wp14:sizeRelV relativeFrom="page">
              <wp14:pctHeight>0</wp14:pctHeight>
            </wp14:sizeRelV>
          </wp:anchor>
        </w:drawing>
      </w:r>
      <w:r w:rsidR="00472F64" w:rsidRPr="00A43884">
        <w:rPr>
          <w:rFonts w:eastAsia="Montserrat Bold" w:cs="Montserrat Bold"/>
          <w:b/>
          <w:bCs/>
          <w:color w:val="C5299B"/>
          <w:sz w:val="20"/>
          <w:szCs w:val="18"/>
        </w:rPr>
        <w:br/>
      </w:r>
      <w:r w:rsidR="00472F64" w:rsidRPr="00A43884">
        <w:rPr>
          <w:rFonts w:eastAsia="DM Sans" w:cs="DM Sans"/>
          <w:b/>
          <w:bCs/>
          <w:color w:val="C5299B"/>
          <w:sz w:val="18"/>
          <w:szCs w:val="18"/>
        </w:rPr>
        <w:br/>
      </w:r>
      <w:r w:rsidR="00472F64" w:rsidRPr="00A43884">
        <w:rPr>
          <w:rFonts w:eastAsia="DM Sans" w:cs="DM Sans"/>
          <w:b/>
          <w:bCs/>
          <w:color w:val="C5299B"/>
          <w:sz w:val="21"/>
          <w:szCs w:val="21"/>
        </w:rPr>
        <w:t>Why risk mitigation is a crucial step in the venue sourcing journey</w:t>
      </w:r>
    </w:p>
    <w:p w14:paraId="2F219390" w14:textId="77777777" w:rsidR="00472F64" w:rsidRPr="00A43884" w:rsidRDefault="00472F64" w:rsidP="00472F64">
      <w:pPr>
        <w:spacing w:before="120" w:after="120" w:line="240" w:lineRule="auto"/>
        <w:rPr>
          <w:rFonts w:eastAsia="DM Sans" w:cs="DM Sans"/>
          <w:color w:val="211551"/>
          <w:sz w:val="6"/>
          <w:szCs w:val="6"/>
        </w:rPr>
      </w:pPr>
    </w:p>
    <w:p w14:paraId="3626C6FE" w14:textId="63601856" w:rsidR="00472F64" w:rsidRPr="00A43884" w:rsidRDefault="00472F64" w:rsidP="00472F64">
      <w:pPr>
        <w:spacing w:before="120" w:after="120" w:line="240" w:lineRule="auto"/>
        <w:ind w:left="720"/>
        <w:rPr>
          <w:rFonts w:eastAsia="DM Sans" w:cs="DM Sans"/>
          <w:color w:val="211551"/>
          <w:sz w:val="21"/>
          <w:szCs w:val="21"/>
        </w:rPr>
      </w:pPr>
      <w:r w:rsidRPr="00A43884">
        <w:rPr>
          <w:rFonts w:eastAsia="DM Sans" w:cs="DM Sans"/>
          <w:color w:val="211551"/>
          <w:sz w:val="21"/>
          <w:szCs w:val="21"/>
        </w:rPr>
        <w:t>Risk mitigation through proven contracting process is vital because contracts clearly define the responsibilities, expectations, and liabilities of each party. This helps prevent disputes and reduce uncertainty. Here’s why it’s so critical:</w:t>
      </w:r>
    </w:p>
    <w:p w14:paraId="66CC8628" w14:textId="217ECB7F" w:rsidR="00472F64" w:rsidRPr="00A43884" w:rsidRDefault="00472F64" w:rsidP="00472F64">
      <w:pPr>
        <w:pStyle w:val="ListParagraph"/>
        <w:numPr>
          <w:ilvl w:val="0"/>
          <w:numId w:val="1"/>
        </w:numPr>
        <w:spacing w:before="120" w:after="120" w:line="240" w:lineRule="auto"/>
        <w:ind w:left="1800"/>
        <w:rPr>
          <w:rFonts w:eastAsia="DM Sans" w:cs="DM Sans"/>
          <w:i/>
          <w:iCs/>
          <w:color w:val="211551"/>
          <w:sz w:val="21"/>
          <w:szCs w:val="21"/>
        </w:rPr>
      </w:pPr>
      <w:r w:rsidRPr="00A43884">
        <w:rPr>
          <w:rFonts w:eastAsia="DM Sans" w:cs="DM Sans"/>
          <w:b/>
          <w:bCs/>
          <w:i/>
          <w:iCs/>
          <w:color w:val="211551"/>
          <w:sz w:val="21"/>
          <w:szCs w:val="21"/>
        </w:rPr>
        <w:t>Clarity and accountability:</w:t>
      </w:r>
      <w:r w:rsidRPr="00A43884">
        <w:rPr>
          <w:rFonts w:eastAsia="DM Sans" w:cs="DM Sans"/>
          <w:i/>
          <w:iCs/>
          <w:color w:val="211551"/>
          <w:sz w:val="21"/>
          <w:szCs w:val="21"/>
        </w:rPr>
        <w:t xml:space="preserve"> Contracts outline scope, deliverables, timelines, and performance standards, reducing the chance of misunderstandings</w:t>
      </w:r>
    </w:p>
    <w:p w14:paraId="4F43A70A" w14:textId="10AFC35F" w:rsidR="00472F64" w:rsidRPr="00A43884" w:rsidRDefault="00472F64" w:rsidP="00472F64">
      <w:pPr>
        <w:pStyle w:val="ListParagraph"/>
        <w:numPr>
          <w:ilvl w:val="0"/>
          <w:numId w:val="1"/>
        </w:numPr>
        <w:spacing w:before="120" w:after="120" w:line="240" w:lineRule="auto"/>
        <w:ind w:left="1800"/>
        <w:rPr>
          <w:rFonts w:eastAsia="DM Sans" w:cs="DM Sans"/>
          <w:i/>
          <w:iCs/>
          <w:color w:val="211551"/>
          <w:sz w:val="21"/>
          <w:szCs w:val="21"/>
        </w:rPr>
      </w:pPr>
      <w:r w:rsidRPr="00A43884">
        <w:rPr>
          <w:rFonts w:eastAsia="DM Sans" w:cs="DM Sans"/>
          <w:b/>
          <w:bCs/>
          <w:i/>
          <w:iCs/>
          <w:color w:val="211551"/>
          <w:sz w:val="21"/>
          <w:szCs w:val="21"/>
        </w:rPr>
        <w:t xml:space="preserve">Legal </w:t>
      </w:r>
      <w:r w:rsidR="0087491B" w:rsidRPr="00A43884">
        <w:rPr>
          <w:rFonts w:eastAsia="DM Sans" w:cs="DM Sans"/>
          <w:b/>
          <w:bCs/>
          <w:i/>
          <w:iCs/>
          <w:color w:val="211551"/>
          <w:sz w:val="21"/>
          <w:szCs w:val="21"/>
        </w:rPr>
        <w:t>p</w:t>
      </w:r>
      <w:r w:rsidRPr="00A43884">
        <w:rPr>
          <w:rFonts w:eastAsia="DM Sans" w:cs="DM Sans"/>
          <w:b/>
          <w:bCs/>
          <w:i/>
          <w:iCs/>
          <w:color w:val="211551"/>
          <w:sz w:val="21"/>
          <w:szCs w:val="21"/>
        </w:rPr>
        <w:t>rotection:</w:t>
      </w:r>
      <w:r w:rsidRPr="00A43884">
        <w:rPr>
          <w:rFonts w:eastAsia="DM Sans" w:cs="DM Sans"/>
          <w:i/>
          <w:iCs/>
          <w:color w:val="211551"/>
          <w:sz w:val="21"/>
          <w:szCs w:val="21"/>
        </w:rPr>
        <w:t xml:space="preserve"> A well-drafted contract provides legal recourse if one party fails to meet its obligations.</w:t>
      </w:r>
    </w:p>
    <w:p w14:paraId="716C03CB" w14:textId="5A64A15F" w:rsidR="00472F64" w:rsidRPr="00A43884" w:rsidRDefault="00472F64" w:rsidP="00472F64">
      <w:pPr>
        <w:pStyle w:val="ListParagraph"/>
        <w:numPr>
          <w:ilvl w:val="0"/>
          <w:numId w:val="1"/>
        </w:numPr>
        <w:spacing w:before="120" w:after="120" w:line="240" w:lineRule="auto"/>
        <w:ind w:left="1800"/>
        <w:rPr>
          <w:rFonts w:eastAsia="DM Sans" w:cs="DM Sans"/>
          <w:i/>
          <w:iCs/>
          <w:color w:val="211551"/>
          <w:sz w:val="21"/>
          <w:szCs w:val="21"/>
        </w:rPr>
      </w:pPr>
      <w:r w:rsidRPr="00A43884">
        <w:rPr>
          <w:rFonts w:eastAsia="DM Sans" w:cs="DM Sans"/>
          <w:b/>
          <w:bCs/>
          <w:i/>
          <w:iCs/>
          <w:color w:val="211551"/>
          <w:sz w:val="21"/>
          <w:szCs w:val="21"/>
        </w:rPr>
        <w:t>Financial safeguards:</w:t>
      </w:r>
      <w:r w:rsidRPr="00A43884">
        <w:rPr>
          <w:rFonts w:eastAsia="DM Sans" w:cs="DM Sans"/>
          <w:i/>
          <w:iCs/>
          <w:color w:val="211551"/>
          <w:sz w:val="21"/>
          <w:szCs w:val="21"/>
        </w:rPr>
        <w:t xml:space="preserve"> Risk-shifting mechanisms like attrition, indemnities, warranties, insurance requirements, and limitation of liability clauses protect parties from unforeseen costs.</w:t>
      </w:r>
    </w:p>
    <w:p w14:paraId="57DA88CB" w14:textId="26D1278B" w:rsidR="00472F64" w:rsidRPr="00A43884" w:rsidRDefault="00472F64" w:rsidP="00472F64">
      <w:pPr>
        <w:pStyle w:val="ListParagraph"/>
        <w:numPr>
          <w:ilvl w:val="0"/>
          <w:numId w:val="1"/>
        </w:numPr>
        <w:spacing w:before="120" w:after="120" w:line="240" w:lineRule="auto"/>
        <w:ind w:left="1800"/>
        <w:rPr>
          <w:rFonts w:eastAsia="DM Sans" w:cs="DM Sans"/>
          <w:i/>
          <w:iCs/>
          <w:color w:val="211551"/>
          <w:sz w:val="21"/>
          <w:szCs w:val="21"/>
        </w:rPr>
      </w:pPr>
      <w:r w:rsidRPr="00A43884">
        <w:rPr>
          <w:rFonts w:eastAsia="DM Sans" w:cs="DM Sans"/>
          <w:b/>
          <w:bCs/>
          <w:i/>
          <w:iCs/>
          <w:color w:val="211551"/>
          <w:sz w:val="21"/>
          <w:szCs w:val="21"/>
        </w:rPr>
        <w:t>Compliance assurance:</w:t>
      </w:r>
      <w:r w:rsidRPr="00A43884">
        <w:rPr>
          <w:rFonts w:eastAsia="DM Sans" w:cs="DM Sans"/>
          <w:i/>
          <w:iCs/>
          <w:color w:val="211551"/>
          <w:sz w:val="21"/>
          <w:szCs w:val="21"/>
        </w:rPr>
        <w:t xml:space="preserve"> Contracts can ensure that regulatory, safety, and industry-specific requirements are met, reducing legal and reputational risks. </w:t>
      </w:r>
    </w:p>
    <w:p w14:paraId="71B3FADA" w14:textId="0696FF8B" w:rsidR="00472F64" w:rsidRPr="00A43884" w:rsidRDefault="00472F64" w:rsidP="00472F64">
      <w:pPr>
        <w:pStyle w:val="ListParagraph"/>
        <w:numPr>
          <w:ilvl w:val="0"/>
          <w:numId w:val="1"/>
        </w:numPr>
        <w:spacing w:before="120" w:after="120" w:line="240" w:lineRule="auto"/>
        <w:ind w:left="1800"/>
        <w:rPr>
          <w:rFonts w:eastAsia="DM Sans" w:cs="DM Sans"/>
          <w:i/>
          <w:iCs/>
          <w:color w:val="211551"/>
          <w:sz w:val="21"/>
          <w:szCs w:val="21"/>
        </w:rPr>
      </w:pPr>
      <w:r w:rsidRPr="00A43884">
        <w:rPr>
          <w:rFonts w:eastAsia="DM Sans" w:cs="DM Sans"/>
          <w:b/>
          <w:bCs/>
          <w:i/>
          <w:iCs/>
          <w:color w:val="211551"/>
          <w:sz w:val="21"/>
          <w:szCs w:val="21"/>
        </w:rPr>
        <w:t>Dispute resolution:</w:t>
      </w:r>
      <w:r w:rsidRPr="00A43884">
        <w:rPr>
          <w:rFonts w:eastAsia="DM Sans" w:cs="DM Sans"/>
          <w:i/>
          <w:iCs/>
          <w:color w:val="211551"/>
          <w:sz w:val="21"/>
          <w:szCs w:val="21"/>
        </w:rPr>
        <w:t xml:space="preserve"> Including agreed-upon procedures for handling disputes (e.g., arbitration, mediation) helps manage conflicts efficiently.</w:t>
      </w:r>
    </w:p>
    <w:p w14:paraId="1D3236BD" w14:textId="77777777" w:rsidR="00731342" w:rsidRPr="00A43884" w:rsidRDefault="00472F64" w:rsidP="00DD0F61">
      <w:pPr>
        <w:pStyle w:val="ListParagraph"/>
        <w:numPr>
          <w:ilvl w:val="0"/>
          <w:numId w:val="1"/>
        </w:numPr>
        <w:spacing w:before="120" w:after="120" w:line="240" w:lineRule="auto"/>
        <w:ind w:left="1800"/>
        <w:rPr>
          <w:rFonts w:eastAsia="DM Sans" w:cs="DM Sans"/>
          <w:i/>
          <w:iCs/>
          <w:color w:val="211551"/>
          <w:sz w:val="21"/>
          <w:szCs w:val="21"/>
        </w:rPr>
      </w:pPr>
      <w:r w:rsidRPr="00A43884">
        <w:rPr>
          <w:rFonts w:eastAsia="DM Sans" w:cs="DM Sans"/>
          <w:b/>
          <w:bCs/>
          <w:i/>
          <w:iCs/>
          <w:color w:val="211551"/>
          <w:sz w:val="21"/>
          <w:szCs w:val="21"/>
        </w:rPr>
        <w:t>Contingency planning:</w:t>
      </w:r>
      <w:r w:rsidRPr="00A43884">
        <w:rPr>
          <w:rFonts w:eastAsia="DM Sans" w:cs="DM Sans"/>
          <w:i/>
          <w:iCs/>
          <w:color w:val="211551"/>
          <w:sz w:val="21"/>
          <w:szCs w:val="21"/>
        </w:rPr>
        <w:t xml:space="preserve"> Contracts can plan for force majeure or other disruptions, ensuring business continuity and risk preparedness. </w:t>
      </w:r>
    </w:p>
    <w:p w14:paraId="04D6AC96" w14:textId="52DD86C0" w:rsidR="00010EE7" w:rsidRPr="00A43884" w:rsidRDefault="00472F64" w:rsidP="00A43884">
      <w:pPr>
        <w:pStyle w:val="ListParagraph"/>
        <w:spacing w:before="120" w:after="120" w:line="240" w:lineRule="auto"/>
        <w:ind w:left="1800"/>
        <w:rPr>
          <w:rFonts w:eastAsia="DM Sans" w:cs="DM Sans"/>
          <w:i/>
          <w:iCs/>
          <w:color w:val="211551"/>
          <w:sz w:val="21"/>
          <w:szCs w:val="21"/>
        </w:rPr>
      </w:pPr>
      <w:r w:rsidRPr="00A43884">
        <w:rPr>
          <w:rFonts w:eastAsia="DM Sans" w:cs="DM Sans"/>
          <w:i/>
          <w:iCs/>
          <w:color w:val="211551"/>
          <w:sz w:val="21"/>
          <w:szCs w:val="21"/>
        </w:rPr>
        <w:br/>
      </w:r>
    </w:p>
    <w:p w14:paraId="347DAA32" w14:textId="6B020755" w:rsidR="00A43884" w:rsidRPr="00A43884" w:rsidRDefault="00A43884">
      <w:pPr>
        <w:spacing w:before="120" w:after="120" w:line="300" w:lineRule="auto"/>
      </w:pPr>
      <w:r>
        <w:rPr>
          <w:noProof/>
        </w:rPr>
        <w:drawing>
          <wp:inline distT="0" distB="0" distL="0" distR="0" wp14:anchorId="47E030EE" wp14:editId="3BCEAE5D">
            <wp:extent cx="5933683" cy="1434517"/>
            <wp:effectExtent l="0" t="0" r="0" b="635"/>
            <wp:docPr id="526229626" name="Drawing 1" descr="1bf19c91a-d73e-40f1-ac2a-a98ba18656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bf19c91a-d73e-40f1-ac2a-a98ba18656d7.png"/>
                    <pic:cNvPicPr>
                      <a:picLocks noChangeAspect="1"/>
                    </pic:cNvPicPr>
                  </pic:nvPicPr>
                  <pic:blipFill>
                    <a:blip r:embed="rId12"/>
                    <a:stretch>
                      <a:fillRect/>
                    </a:stretch>
                  </pic:blipFill>
                  <pic:spPr>
                    <a:xfrm>
                      <a:off x="0" y="0"/>
                      <a:ext cx="5965591" cy="1442231"/>
                    </a:xfrm>
                    <a:prstGeom prst="rect">
                      <a:avLst/>
                    </a:prstGeom>
                  </pic:spPr>
                </pic:pic>
              </a:graphicData>
            </a:graphic>
          </wp:inline>
        </w:drawing>
      </w:r>
    </w:p>
    <w:p w14:paraId="1FFF07A4" w14:textId="3904295B" w:rsidR="00784613" w:rsidRPr="00A43884" w:rsidRDefault="00731342" w:rsidP="00731342">
      <w:pPr>
        <w:spacing w:before="120" w:after="120" w:line="240" w:lineRule="auto"/>
        <w:jc w:val="center"/>
      </w:pPr>
      <w:hyperlink r:id="rId13" w:history="1">
        <w:r w:rsidRPr="00A43884">
          <w:rPr>
            <w:rStyle w:val="Hyperlink"/>
            <w:rFonts w:eastAsia="DM Sans" w:cs="DM Sans"/>
            <w:b/>
            <w:bCs/>
            <w:color w:val="C5299B"/>
          </w:rPr>
          <w:t>Get in touch</w:t>
        </w:r>
      </w:hyperlink>
      <w:r w:rsidRPr="00A43884">
        <w:rPr>
          <w:rFonts w:eastAsia="DM Sans" w:cs="DM Sans"/>
          <w:color w:val="211551"/>
        </w:rPr>
        <w:t xml:space="preserve"> to </w:t>
      </w:r>
      <w:r w:rsidR="00784613" w:rsidRPr="00A43884">
        <w:rPr>
          <w:rFonts w:eastAsia="DM Sans" w:cs="DM Sans"/>
          <w:color w:val="211551"/>
        </w:rPr>
        <w:t>learn more about our sourcing services.</w:t>
      </w:r>
    </w:p>
    <w:sectPr w:rsidR="00784613" w:rsidRPr="00A43884">
      <w:footerReference w:type="default" r:id="rId14"/>
      <w:pgSz w:w="12240" w:h="1581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4FADB1" w14:textId="77777777" w:rsidR="00C82CC5" w:rsidRDefault="00C82CC5" w:rsidP="00472F64">
      <w:pPr>
        <w:spacing w:after="0" w:line="240" w:lineRule="auto"/>
      </w:pPr>
      <w:r>
        <w:separator/>
      </w:r>
    </w:p>
  </w:endnote>
  <w:endnote w:type="continuationSeparator" w:id="0">
    <w:p w14:paraId="140D7595" w14:textId="77777777" w:rsidR="00C82CC5" w:rsidRDefault="00C82CC5" w:rsidP="00472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9C3CE1FD-96C4-B147-A7B6-AE85C0F1057B}"/>
  </w:font>
  <w:font w:name="Times New Roman">
    <w:panose1 w:val="02020603050405020304"/>
    <w:charset w:val="00"/>
    <w:family w:val="roman"/>
    <w:pitch w:val="variable"/>
    <w:sig w:usb0="E0002EFF" w:usb1="C000785B" w:usb2="00000009" w:usb3="00000000" w:csb0="000001FF" w:csb1="00000000"/>
    <w:embedRegular r:id="rId2" w:fontKey="{83D811CE-F797-3A4C-8AD7-77ACF08BEFDF}"/>
    <w:embedBold r:id="rId3" w:fontKey="{490132FA-2766-1E42-AFEE-962584FF0E96}"/>
  </w:font>
  <w:font w:name="Courier New">
    <w:panose1 w:val="02070309020205020404"/>
    <w:charset w:val="00"/>
    <w:family w:val="modern"/>
    <w:pitch w:val="fixed"/>
    <w:sig w:usb0="E0002EFF" w:usb1="C0007843" w:usb2="00000009" w:usb3="00000000" w:csb0="000001FF" w:csb1="00000000"/>
    <w:embedRegular r:id="rId4" w:fontKey="{C2456F84-3D5E-8A40-A063-823EB3654F7F}"/>
  </w:font>
  <w:font w:name="Wingdings">
    <w:panose1 w:val="05000000000000000000"/>
    <w:charset w:val="4D"/>
    <w:family w:val="decorative"/>
    <w:pitch w:val="variable"/>
    <w:sig w:usb0="00000003" w:usb1="00000000" w:usb2="00000000" w:usb3="00000000" w:csb0="80000001" w:csb1="00000000"/>
    <w:embedRegular r:id="rId5" w:fontKey="{50C25E34-AA2F-6948-AC63-9EBAA482E2B2}"/>
  </w:font>
  <w:font w:name="Aptos">
    <w:panose1 w:val="020B0004020202020204"/>
    <w:charset w:val="00"/>
    <w:family w:val="swiss"/>
    <w:pitch w:val="variable"/>
    <w:sig w:usb0="20000287" w:usb1="00000003" w:usb2="00000000" w:usb3="00000000" w:csb0="0000019F" w:csb1="00000000"/>
    <w:embedRegular r:id="rId6" w:fontKey="{D573B35A-4B52-A949-A659-792B4E4CB090}"/>
    <w:embedBold r:id="rId7" w:fontKey="{F1317632-A4F9-E040-8708-96087EA9D570}"/>
    <w:embedItalic r:id="rId8" w:fontKey="{C26A0925-14E5-3B41-BA48-A8D3DB4A8C84}"/>
    <w:embedBoldItalic r:id="rId9" w:fontKey="{E575A223-425A-5246-AA98-0A3DCABCCCA3}"/>
  </w:font>
  <w:font w:name="Montserrat Bold">
    <w:altName w:val="Calibri"/>
    <w:panose1 w:val="020B0604020202020204"/>
    <w:charset w:val="00"/>
    <w:family w:val="auto"/>
    <w:pitch w:val="default"/>
  </w:font>
  <w:font w:name="DM Sans">
    <w:panose1 w:val="00000000000000000000"/>
    <w:charset w:val="00"/>
    <w:family w:val="auto"/>
    <w:pitch w:val="variable"/>
    <w:sig w:usb0="8000002F" w:usb1="5000205B" w:usb2="00000000" w:usb3="00000000" w:csb0="00000093" w:csb1="00000000"/>
    <w:embedRegular r:id="rId10" w:fontKey="{4FAF6ED4-C852-1E45-A3D1-6B2FE488B8F0}"/>
    <w:embedBold r:id="rId11" w:fontKey="{9C189863-E40C-774F-B4FC-8DDEC458477A}"/>
    <w:embedItalic r:id="rId12" w:fontKey="{41FB1D4D-CC42-8D49-AE1F-63DD4F9B649F}"/>
    <w:embedBoldItalic r:id="rId13" w:fontKey="{3FB93DF1-2022-7448-A012-A1B3C49C66E0}"/>
  </w:font>
  <w:font w:name="DM Sans Bold">
    <w:altName w:val="DM Sans"/>
    <w:panose1 w:val="020B0604020202020204"/>
    <w:charset w:val="00"/>
    <w:family w:val="auto"/>
    <w:pitch w:val="default"/>
    <w:embedRegular r:id="rId14" w:fontKey="{DA7D815D-DC08-274D-ACF1-245781EAA172}"/>
  </w:font>
  <w:font w:name="Calibri">
    <w:panose1 w:val="020F0502020204030204"/>
    <w:charset w:val="00"/>
    <w:family w:val="swiss"/>
    <w:pitch w:val="variable"/>
    <w:sig w:usb0="E0002AFF" w:usb1="C000ACFF" w:usb2="00000009" w:usb3="00000000" w:csb0="000001FF" w:csb1="00000000"/>
    <w:embedRegular r:id="rId15" w:fontKey="{75FC5382-68BD-0347-8CEF-F078964724F1}"/>
  </w:font>
  <w:font w:name="Calibri Light">
    <w:panose1 w:val="020F0302020204030204"/>
    <w:charset w:val="00"/>
    <w:family w:val="swiss"/>
    <w:pitch w:val="variable"/>
    <w:sig w:usb0="E0002AFF" w:usb1="C000247B" w:usb2="00000009" w:usb3="00000000" w:csb0="000001FF" w:csb1="00000000"/>
    <w:embedRegular r:id="rId16" w:fontKey="{CADDF835-0D36-0B48-AC0E-42B7445F6BF2}"/>
  </w:font>
  <w:font w:name="Aptos Display">
    <w:panose1 w:val="020B0004020202020204"/>
    <w:charset w:val="00"/>
    <w:family w:val="swiss"/>
    <w:pitch w:val="variable"/>
    <w:sig w:usb0="20000287" w:usb1="00000003" w:usb2="00000000" w:usb3="00000000" w:csb0="0000019F" w:csb1="00000000"/>
    <w:embedRegular r:id="rId17" w:fontKey="{32BC8DC9-25B2-F34B-8F58-79ACBD4882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F0813B" w14:textId="6CAD417A" w:rsidR="00472F64" w:rsidRPr="00A43884" w:rsidRDefault="00472F64" w:rsidP="00472F64">
    <w:pPr>
      <w:jc w:val="center"/>
      <w:rPr>
        <w:rFonts w:ascii="Aptos" w:hAnsi="Aptos" w:cs="Calibri Light"/>
        <w:color w:val="000000" w:themeColor="text1"/>
        <w:sz w:val="15"/>
        <w:szCs w:val="15"/>
      </w:rPr>
    </w:pPr>
    <w:r w:rsidRPr="00A43884">
      <w:rPr>
        <w:rFonts w:ascii="Aptos" w:hAnsi="Aptos" w:cs="Calibri Light"/>
        <w:color w:val="404040" w:themeColor="text1" w:themeTint="BF"/>
        <w:sz w:val="15"/>
        <w:szCs w:val="15"/>
      </w:rPr>
      <w:t xml:space="preserve">Venue Contracting </w:t>
    </w:r>
    <w:proofErr w:type="gramStart"/>
    <w:r w:rsidRPr="00A43884">
      <w:rPr>
        <w:rFonts w:ascii="Aptos" w:hAnsi="Aptos" w:cs="Calibri Light"/>
        <w:color w:val="404040" w:themeColor="text1" w:themeTint="BF"/>
        <w:sz w:val="15"/>
        <w:szCs w:val="15"/>
      </w:rPr>
      <w:t>at a Glance</w:t>
    </w:r>
    <w:proofErr w:type="gramEnd"/>
    <w:r w:rsidRPr="00A43884">
      <w:rPr>
        <w:rFonts w:ascii="Aptos" w:hAnsi="Aptos" w:cs="Calibri Light"/>
        <w:color w:val="404040" w:themeColor="text1" w:themeTint="BF"/>
        <w:sz w:val="15"/>
        <w:szCs w:val="15"/>
      </w:rPr>
      <w:t xml:space="preserve"> — Your Quick Reference Guide   |   </w:t>
    </w:r>
    <w:r w:rsidRPr="00A43884">
      <w:rPr>
        <w:rFonts w:ascii="Aptos" w:hAnsi="Aptos" w:cs="Calibri Light"/>
        <w:color w:val="404040" w:themeColor="text1" w:themeTint="BF"/>
        <w:sz w:val="15"/>
        <w:szCs w:val="15"/>
      </w:rPr>
      <w:fldChar w:fldCharType="begin"/>
    </w:r>
    <w:r w:rsidRPr="00A43884">
      <w:rPr>
        <w:rFonts w:ascii="Aptos" w:hAnsi="Aptos" w:cs="Calibri Light"/>
        <w:color w:val="404040" w:themeColor="text1" w:themeTint="BF"/>
        <w:sz w:val="15"/>
        <w:szCs w:val="15"/>
      </w:rPr>
      <w:instrText xml:space="preserve"> DATE \@ "MMMM d, yyyy" </w:instrText>
    </w:r>
    <w:r w:rsidRPr="00A43884">
      <w:rPr>
        <w:rFonts w:ascii="Aptos" w:hAnsi="Aptos" w:cs="Calibri Light"/>
        <w:color w:val="404040" w:themeColor="text1" w:themeTint="BF"/>
        <w:sz w:val="15"/>
        <w:szCs w:val="15"/>
      </w:rPr>
      <w:fldChar w:fldCharType="separate"/>
    </w:r>
    <w:r w:rsidR="00A43884" w:rsidRPr="00A43884">
      <w:rPr>
        <w:rFonts w:ascii="Aptos" w:hAnsi="Aptos" w:cs="Calibri Light"/>
        <w:noProof/>
        <w:color w:val="404040" w:themeColor="text1" w:themeTint="BF"/>
        <w:sz w:val="15"/>
        <w:szCs w:val="15"/>
      </w:rPr>
      <w:t>June 17, 2026</w:t>
    </w:r>
    <w:r w:rsidRPr="00A43884">
      <w:rPr>
        <w:rFonts w:ascii="Aptos" w:hAnsi="Aptos" w:cs="Calibri Light"/>
        <w:color w:val="404040" w:themeColor="text1" w:themeTint="BF"/>
        <w:sz w:val="15"/>
        <w:szCs w:val="15"/>
      </w:rPr>
      <w:fldChar w:fldCharType="end"/>
    </w:r>
    <w:r w:rsidRPr="00A43884">
      <w:rPr>
        <w:rFonts w:ascii="Aptos" w:hAnsi="Aptos" w:cs="Calibri Light"/>
        <w:color w:val="404040" w:themeColor="text1" w:themeTint="BF"/>
        <w:sz w:val="15"/>
        <w:szCs w:val="15"/>
      </w:rPr>
      <w:t xml:space="preserve">   |   Page </w:t>
    </w:r>
    <w:r w:rsidRPr="00A43884">
      <w:rPr>
        <w:rFonts w:ascii="Aptos" w:hAnsi="Aptos" w:cs="Calibri Light"/>
        <w:color w:val="404040" w:themeColor="text1" w:themeTint="BF"/>
        <w:sz w:val="15"/>
        <w:szCs w:val="15"/>
      </w:rPr>
      <w:fldChar w:fldCharType="begin"/>
    </w:r>
    <w:r w:rsidRPr="00A43884">
      <w:rPr>
        <w:rFonts w:ascii="Aptos" w:hAnsi="Aptos" w:cs="Calibri Light"/>
        <w:color w:val="404040" w:themeColor="text1" w:themeTint="BF"/>
        <w:sz w:val="15"/>
        <w:szCs w:val="15"/>
      </w:rPr>
      <w:instrText xml:space="preserve"> PAGE  \* Arabic  \* MERGEFORMAT </w:instrText>
    </w:r>
    <w:r w:rsidRPr="00A43884">
      <w:rPr>
        <w:rFonts w:ascii="Aptos" w:hAnsi="Aptos" w:cs="Calibri Light"/>
        <w:color w:val="404040" w:themeColor="text1" w:themeTint="BF"/>
        <w:sz w:val="15"/>
        <w:szCs w:val="15"/>
      </w:rPr>
      <w:fldChar w:fldCharType="separate"/>
    </w:r>
    <w:r w:rsidRPr="00A43884">
      <w:rPr>
        <w:rFonts w:ascii="Aptos" w:hAnsi="Aptos" w:cs="Calibri Light"/>
        <w:color w:val="404040" w:themeColor="text1" w:themeTint="BF"/>
        <w:sz w:val="15"/>
        <w:szCs w:val="15"/>
      </w:rPr>
      <w:t>2</w:t>
    </w:r>
    <w:r w:rsidRPr="00A43884">
      <w:rPr>
        <w:rFonts w:ascii="Aptos" w:hAnsi="Aptos" w:cs="Calibri Light"/>
        <w:color w:val="404040" w:themeColor="text1" w:themeTint="BF"/>
        <w:sz w:val="15"/>
        <w:szCs w:val="15"/>
      </w:rPr>
      <w:fldChar w:fldCharType="end"/>
    </w:r>
    <w:r w:rsidRPr="00A43884">
      <w:rPr>
        <w:rFonts w:ascii="Aptos" w:hAnsi="Aptos" w:cs="Calibri Light"/>
        <w:color w:val="404040" w:themeColor="text1" w:themeTint="BF"/>
        <w:sz w:val="15"/>
        <w:szCs w:val="15"/>
      </w:rPr>
      <w:br/>
      <w:t>© 202</w:t>
    </w:r>
    <w:r w:rsidR="00A43884">
      <w:rPr>
        <w:rFonts w:ascii="Aptos" w:hAnsi="Aptos" w:cs="Calibri Light"/>
        <w:color w:val="404040" w:themeColor="text1" w:themeTint="BF"/>
        <w:sz w:val="15"/>
        <w:szCs w:val="15"/>
      </w:rPr>
      <w:t>6</w:t>
    </w:r>
    <w:r w:rsidRPr="00A43884">
      <w:rPr>
        <w:rFonts w:ascii="Aptos" w:hAnsi="Aptos" w:cs="Calibri Light"/>
        <w:color w:val="404040" w:themeColor="text1" w:themeTint="BF"/>
        <w:sz w:val="15"/>
        <w:szCs w:val="15"/>
      </w:rPr>
      <w:t xml:space="preserve"> BCD Meetings &amp; Events.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7933F1" w14:textId="77777777" w:rsidR="00C82CC5" w:rsidRDefault="00C82CC5" w:rsidP="00472F64">
      <w:pPr>
        <w:spacing w:after="0" w:line="240" w:lineRule="auto"/>
      </w:pPr>
      <w:r>
        <w:separator/>
      </w:r>
    </w:p>
  </w:footnote>
  <w:footnote w:type="continuationSeparator" w:id="0">
    <w:p w14:paraId="0965D646" w14:textId="77777777" w:rsidR="00C82CC5" w:rsidRDefault="00C82CC5" w:rsidP="00472F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7761AD"/>
    <w:multiLevelType w:val="hybridMultilevel"/>
    <w:tmpl w:val="D1FE8E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7422493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embedTrueTypeFonts/>
  <w:proofState w:spelling="clean" w:grammar="clean"/>
  <w:defaultTabStop w:val="720"/>
  <w:doNotShadeFormData/>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ACF"/>
    <w:rsid w:val="00010EE7"/>
    <w:rsid w:val="00145E9A"/>
    <w:rsid w:val="00230A44"/>
    <w:rsid w:val="003453F1"/>
    <w:rsid w:val="003E337E"/>
    <w:rsid w:val="00472F64"/>
    <w:rsid w:val="00487F73"/>
    <w:rsid w:val="0049497A"/>
    <w:rsid w:val="005D51CA"/>
    <w:rsid w:val="00620CA9"/>
    <w:rsid w:val="006820F0"/>
    <w:rsid w:val="00731342"/>
    <w:rsid w:val="00784613"/>
    <w:rsid w:val="007F4536"/>
    <w:rsid w:val="0080251B"/>
    <w:rsid w:val="00830F80"/>
    <w:rsid w:val="0087491B"/>
    <w:rsid w:val="0088182F"/>
    <w:rsid w:val="00885EC2"/>
    <w:rsid w:val="009C6172"/>
    <w:rsid w:val="00A27F6B"/>
    <w:rsid w:val="00A436C0"/>
    <w:rsid w:val="00A43884"/>
    <w:rsid w:val="00BB0A5E"/>
    <w:rsid w:val="00C82CC5"/>
    <w:rsid w:val="00DD0F61"/>
    <w:rsid w:val="00F95ACF"/>
    <w:rsid w:val="00FB25A3"/>
    <w:rsid w:val="00FB3C66"/>
    <w:rsid w:val="00FE5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87D34"/>
  <w15:docId w15:val="{24CA6C93-3147-D04E-A730-6D405DEF4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4613"/>
    <w:rPr>
      <w:color w:val="467886" w:themeColor="hyperlink"/>
      <w:u w:val="single"/>
    </w:rPr>
  </w:style>
  <w:style w:type="paragraph" w:styleId="ListParagraph">
    <w:name w:val="List Paragraph"/>
    <w:basedOn w:val="Normal"/>
    <w:uiPriority w:val="34"/>
    <w:qFormat/>
    <w:rsid w:val="00472F64"/>
    <w:pPr>
      <w:ind w:left="720"/>
      <w:contextualSpacing/>
    </w:pPr>
  </w:style>
  <w:style w:type="paragraph" w:styleId="Header">
    <w:name w:val="header"/>
    <w:basedOn w:val="Normal"/>
    <w:link w:val="HeaderChar"/>
    <w:uiPriority w:val="99"/>
    <w:unhideWhenUsed/>
    <w:rsid w:val="00472F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2F64"/>
  </w:style>
  <w:style w:type="paragraph" w:styleId="Footer">
    <w:name w:val="footer"/>
    <w:basedOn w:val="Normal"/>
    <w:link w:val="FooterChar"/>
    <w:uiPriority w:val="99"/>
    <w:unhideWhenUsed/>
    <w:rsid w:val="00472F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F64"/>
  </w:style>
  <w:style w:type="paragraph" w:styleId="Revision">
    <w:name w:val="Revision"/>
    <w:hidden/>
    <w:uiPriority w:val="99"/>
    <w:semiHidden/>
    <w:rsid w:val="00FB25A3"/>
    <w:pPr>
      <w:spacing w:after="0" w:line="240" w:lineRule="auto"/>
    </w:pPr>
  </w:style>
  <w:style w:type="character" w:styleId="CommentReference">
    <w:name w:val="annotation reference"/>
    <w:basedOn w:val="DefaultParagraphFont"/>
    <w:uiPriority w:val="99"/>
    <w:semiHidden/>
    <w:unhideWhenUsed/>
    <w:rsid w:val="00FB25A3"/>
    <w:rPr>
      <w:sz w:val="16"/>
      <w:szCs w:val="16"/>
    </w:rPr>
  </w:style>
  <w:style w:type="paragraph" w:styleId="CommentText">
    <w:name w:val="annotation text"/>
    <w:basedOn w:val="Normal"/>
    <w:link w:val="CommentTextChar"/>
    <w:uiPriority w:val="99"/>
    <w:unhideWhenUsed/>
    <w:rsid w:val="00FB25A3"/>
    <w:pPr>
      <w:spacing w:line="240" w:lineRule="auto"/>
    </w:pPr>
    <w:rPr>
      <w:sz w:val="20"/>
      <w:szCs w:val="20"/>
    </w:rPr>
  </w:style>
  <w:style w:type="character" w:customStyle="1" w:styleId="CommentTextChar">
    <w:name w:val="Comment Text Char"/>
    <w:basedOn w:val="DefaultParagraphFont"/>
    <w:link w:val="CommentText"/>
    <w:uiPriority w:val="99"/>
    <w:rsid w:val="00FB25A3"/>
    <w:rPr>
      <w:sz w:val="20"/>
      <w:szCs w:val="20"/>
    </w:rPr>
  </w:style>
  <w:style w:type="paragraph" w:styleId="CommentSubject">
    <w:name w:val="annotation subject"/>
    <w:basedOn w:val="CommentText"/>
    <w:next w:val="CommentText"/>
    <w:link w:val="CommentSubjectChar"/>
    <w:uiPriority w:val="99"/>
    <w:semiHidden/>
    <w:unhideWhenUsed/>
    <w:rsid w:val="00FB25A3"/>
    <w:rPr>
      <w:b/>
      <w:bCs/>
    </w:rPr>
  </w:style>
  <w:style w:type="character" w:customStyle="1" w:styleId="CommentSubjectChar">
    <w:name w:val="Comment Subject Char"/>
    <w:basedOn w:val="CommentTextChar"/>
    <w:link w:val="CommentSubject"/>
    <w:uiPriority w:val="99"/>
    <w:semiHidden/>
    <w:rsid w:val="00FB25A3"/>
    <w:rPr>
      <w:b/>
      <w:bCs/>
      <w:sz w:val="20"/>
      <w:szCs w:val="20"/>
    </w:rPr>
  </w:style>
  <w:style w:type="character" w:styleId="UnresolvedMention">
    <w:name w:val="Unresolved Mention"/>
    <w:basedOn w:val="DefaultParagraphFont"/>
    <w:uiPriority w:val="99"/>
    <w:semiHidden/>
    <w:unhideWhenUsed/>
    <w:rsid w:val="007313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cdme.com/contact/?mtm_campaign=ultimate-guide-venue-sourcing&amp;mtm_source=lead-magnet&amp;mtm_medium=c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bcdme.com/contact/?mtm_campaign=ultimate-guide-venue-sourcing&amp;mtm_source=lead-magnet&amp;mtm_medium=cta"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81637-709A-44A4-99A7-C6DA06A6F231}">
  <ds:schemaRefs>
    <ds:schemaRef ds:uri="http://schemas.openxmlformats.org/officeDocument/2006/bibliography"/>
  </ds:schemaRefs>
</ds:datastoreItem>
</file>

<file path=docMetadata/LabelInfo.xml><?xml version="1.0" encoding="utf-8"?>
<clbl:labelList xmlns:clbl="http://schemas.microsoft.com/office/2020/mipLabelMetadata">
  <clbl:label id="{c4893c79-056d-44f5-9e05-582500cb3434}" enabled="1" method="Standard" siteId="{cdb191c8-fc03-4343-aead-2808b21fd513}"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446</Words>
  <Characters>2547</Characters>
  <Application>Microsoft Office Word</Application>
  <DocSecurity>0</DocSecurity>
  <Lines>21</Lines>
  <Paragraphs>5</Paragraphs>
  <ScaleCrop>false</ScaleCrop>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Gina Guarino (US)</cp:lastModifiedBy>
  <cp:revision>4</cp:revision>
  <dcterms:created xsi:type="dcterms:W3CDTF">2025-06-02T11:51:00Z</dcterms:created>
  <dcterms:modified xsi:type="dcterms:W3CDTF">2026-06-17T19:09:00Z</dcterms:modified>
</cp:coreProperties>
</file>