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025F83" w14:textId="77777777" w:rsidR="003178C5" w:rsidRDefault="0000000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B5F7B" wp14:editId="4A3AEF5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946986"/>
            <wp:effectExtent l="0" t="0" r="0" b="0"/>
            <wp:wrapTopAndBottom/>
            <wp:docPr id="20032452" name="Drawing 0" descr="19c8ac45c-9bc0-4f4e-b90b-280c75fff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9c8ac45c-9bc0-4f4e-b90b-280c75fff850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946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16D4FD" w14:textId="77777777" w:rsidR="003178C5" w:rsidRDefault="00000000" w:rsidP="003B4EE3">
      <w:pPr>
        <w:spacing w:before="120" w:after="120" w:line="240" w:lineRule="auto"/>
      </w:pPr>
      <w:r>
        <w:rPr>
          <w:rFonts w:ascii="Aptos" w:eastAsia="Aptos" w:hAnsi="Aptos" w:cs="Aptos"/>
          <w:color w:val="404040"/>
        </w:rPr>
        <w:t xml:space="preserve"> </w:t>
      </w:r>
    </w:p>
    <w:tbl>
      <w:tblPr>
        <w:tblW w:w="9360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3178C5" w14:paraId="0539C37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1EFFC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CB0C9C7" w14:textId="220A75F0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  <w:sz w:val="28"/>
                <w:szCs w:val="28"/>
              </w:rPr>
              <w:t>Many organizations want to understand and reduce event emissions but aren't sure what information they need or how detailed measurement needs to be.</w:t>
            </w:r>
            <w:r w:rsidR="003B4EE3">
              <w:rPr>
                <w:rFonts w:ascii="Aptos" w:eastAsia="Aptos" w:hAnsi="Aptos" w:cs="Aptos"/>
                <w:color w:val="000000"/>
                <w:sz w:val="28"/>
                <w:szCs w:val="28"/>
              </w:rPr>
              <w:br/>
            </w:r>
            <w:r w:rsidR="003B4EE3">
              <w:rPr>
                <w:rFonts w:ascii="Aptos" w:eastAsia="Aptos" w:hAnsi="Aptos" w:cs="Aptos"/>
                <w:color w:val="000000"/>
                <w:sz w:val="28"/>
                <w:szCs w:val="28"/>
              </w:rPr>
              <w:br/>
            </w:r>
            <w:r>
              <w:rPr>
                <w:rFonts w:ascii="Aptos" w:eastAsia="Aptos" w:hAnsi="Aptos" w:cs="Aptos"/>
                <w:color w:val="000000"/>
                <w:sz w:val="28"/>
                <w:szCs w:val="28"/>
              </w:rPr>
              <w:t xml:space="preserve">Collecting a small amount of consistent information can help build a clearer picture of your event's environmental impact and identify opportunities for improvement. </w:t>
            </w:r>
          </w:p>
        </w:tc>
      </w:tr>
    </w:tbl>
    <w:p w14:paraId="140D7757" w14:textId="77777777" w:rsidR="003178C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t> </w:t>
      </w: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br/>
        <w:t xml:space="preserve">WHAT TO MEASURE FIRST </w:t>
      </w:r>
    </w:p>
    <w:p w14:paraId="41BF02F1" w14:textId="5E47F25E" w:rsidR="003178C5" w:rsidRDefault="00000000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>While every event is different, a small number of categories are responsible for most event-related emissions.</w:t>
      </w:r>
      <w:r w:rsidR="003B4EE3">
        <w:rPr>
          <w:rFonts w:ascii="Aptos" w:eastAsia="Aptos" w:hAnsi="Aptos" w:cs="Aptos"/>
          <w:color w:val="000000"/>
          <w:sz w:val="26"/>
          <w:szCs w:val="26"/>
        </w:rPr>
        <w:br/>
      </w:r>
      <w:r w:rsidR="003B4EE3">
        <w:rPr>
          <w:rFonts w:ascii="Aptos" w:eastAsia="Aptos" w:hAnsi="Aptos" w:cs="Aptos"/>
          <w:color w:val="000000"/>
          <w:sz w:val="26"/>
          <w:szCs w:val="26"/>
        </w:rPr>
        <w:br/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 xml:space="preserve">Focus on understanding: </w:t>
      </w:r>
    </w:p>
    <w:p w14:paraId="57E0B6DC" w14:textId="77777777" w:rsidR="003178C5" w:rsidRDefault="00000000" w:rsidP="003B4EE3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Attendee travel </w:t>
      </w:r>
    </w:p>
    <w:p w14:paraId="62D3F18F" w14:textId="77777777" w:rsidR="003178C5" w:rsidRDefault="00000000" w:rsidP="003B4EE3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Accommodation </w:t>
      </w:r>
    </w:p>
    <w:p w14:paraId="77E6DA68" w14:textId="77777777" w:rsidR="003178C5" w:rsidRDefault="00000000" w:rsidP="003B4EE3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Venue operations </w:t>
      </w:r>
    </w:p>
    <w:p w14:paraId="1B774F4B" w14:textId="77777777" w:rsidR="003B4EE3" w:rsidRPr="003B4EE3" w:rsidRDefault="00000000" w:rsidP="003B4EE3">
      <w:pPr>
        <w:numPr>
          <w:ilvl w:val="0"/>
          <w:numId w:val="1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>Food and beverage</w:t>
      </w:r>
    </w:p>
    <w:p w14:paraId="0D418EFF" w14:textId="77777777" w:rsidR="003B4EE3" w:rsidRDefault="003B4EE3" w:rsidP="003B4EE3">
      <w:pPr>
        <w:spacing w:after="0" w:line="240" w:lineRule="auto"/>
        <w:ind w:left="40"/>
        <w:rPr>
          <w:rFonts w:ascii="Aptos" w:eastAsia="Aptos" w:hAnsi="Aptos" w:cs="Aptos"/>
          <w:color w:val="000000"/>
          <w:sz w:val="26"/>
          <w:szCs w:val="26"/>
        </w:rPr>
      </w:pPr>
    </w:p>
    <w:p w14:paraId="310DB00D" w14:textId="363E985C" w:rsidR="003178C5" w:rsidRDefault="00000000" w:rsidP="003B4EE3">
      <w:pPr>
        <w:spacing w:after="0" w:line="240" w:lineRule="auto"/>
        <w:ind w:left="40"/>
      </w:pPr>
      <w:r w:rsidRPr="003B4EE3">
        <w:rPr>
          <w:rFonts w:ascii="Aptos" w:eastAsia="Aptos" w:hAnsi="Aptos" w:cs="Aptos"/>
          <w:color w:val="000000"/>
          <w:sz w:val="26"/>
          <w:szCs w:val="26"/>
        </w:rPr>
        <w:t>These areas will often provide the most useful insight and the biggest opportunities for improvement.</w:t>
      </w:r>
      <w:r w:rsidR="003B4EE3">
        <w:rPr>
          <w:rFonts w:ascii="Aptos" w:eastAsia="Aptos" w:hAnsi="Aptos" w:cs="Aptos"/>
          <w:color w:val="000000"/>
          <w:sz w:val="26"/>
          <w:szCs w:val="26"/>
        </w:rPr>
        <w:br/>
      </w:r>
      <w:r w:rsidR="003B4EE3">
        <w:rPr>
          <w:rFonts w:ascii="Aptos" w:eastAsia="Aptos" w:hAnsi="Aptos" w:cs="Aptos"/>
          <w:color w:val="000000"/>
          <w:sz w:val="26"/>
          <w:szCs w:val="26"/>
        </w:rPr>
        <w:br/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>Why these first? </w:t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br/>
      </w:r>
      <w:r>
        <w:rPr>
          <w:rFonts w:ascii="Aptos" w:eastAsia="Aptos" w:hAnsi="Aptos" w:cs="Aptos"/>
          <w:color w:val="000000"/>
          <w:sz w:val="26"/>
          <w:szCs w:val="26"/>
        </w:rPr>
        <w:t>For many meetings and events, attendee travel represents the largest contributor to overall emissions, followed by accommodation, venue operations and catering.</w:t>
      </w:r>
      <w:r w:rsidR="003B4EE3">
        <w:rPr>
          <w:rFonts w:ascii="Aptos" w:eastAsia="Aptos" w:hAnsi="Aptos" w:cs="Aptos"/>
          <w:color w:val="000000"/>
          <w:sz w:val="26"/>
          <w:szCs w:val="26"/>
        </w:rPr>
        <w:t xml:space="preserve"> </w:t>
      </w:r>
      <w:r>
        <w:rPr>
          <w:rFonts w:ascii="Aptos" w:eastAsia="Aptos" w:hAnsi="Aptos" w:cs="Aptos"/>
          <w:color w:val="000000"/>
          <w:sz w:val="26"/>
          <w:szCs w:val="26"/>
        </w:rPr>
        <w:t>Starting with these categories creates visibility without making the process overly</w:t>
      </w:r>
      <w:r w:rsidR="003B4EE3">
        <w:rPr>
          <w:rFonts w:ascii="Aptos" w:eastAsia="Aptos" w:hAnsi="Aptos" w:cs="Aptos"/>
          <w:color w:val="000000"/>
          <w:sz w:val="26"/>
          <w:szCs w:val="26"/>
        </w:rPr>
        <w:t xml:space="preserve"> </w:t>
      </w:r>
      <w:r>
        <w:rPr>
          <w:rFonts w:ascii="Aptos" w:eastAsia="Aptos" w:hAnsi="Aptos" w:cs="Aptos"/>
          <w:color w:val="000000"/>
          <w:sz w:val="26"/>
          <w:szCs w:val="26"/>
        </w:rPr>
        <w:t>complicated. </w:t>
      </w:r>
      <w:r>
        <w:rPr>
          <w:rFonts w:ascii="Aptos" w:eastAsia="Aptos" w:hAnsi="Aptos" w:cs="Aptos"/>
          <w:color w:val="000000"/>
          <w:sz w:val="26"/>
          <w:szCs w:val="26"/>
        </w:rPr>
        <w:br/>
        <w:t xml:space="preserve"> </w:t>
      </w:r>
    </w:p>
    <w:p w14:paraId="7527A016" w14:textId="77777777" w:rsidR="003178C5" w:rsidRDefault="00000000" w:rsidP="003B4EE3">
      <w:pPr>
        <w:spacing w:before="120" w:after="120" w:line="240" w:lineRule="auto"/>
      </w:pP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lastRenderedPageBreak/>
        <w:t>What information should you collect? </w:t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br/>
      </w:r>
      <w:r>
        <w:rPr>
          <w:rFonts w:ascii="Aptos" w:eastAsia="Aptos" w:hAnsi="Aptos" w:cs="Aptos"/>
          <w:color w:val="000000"/>
          <w:sz w:val="26"/>
          <w:szCs w:val="26"/>
        </w:rPr>
        <w:t>Once you've identified what you want to measure, start gathering a consistent set of information for each event </w:t>
      </w:r>
      <w:r>
        <w:rPr>
          <w:rFonts w:ascii="Aptos" w:eastAsia="Aptos" w:hAnsi="Aptos" w:cs="Aptos"/>
          <w:color w:val="000000"/>
          <w:sz w:val="26"/>
          <w:szCs w:val="26"/>
        </w:rPr>
        <w:br/>
        <w:t xml:space="preserve"> </w:t>
      </w:r>
    </w:p>
    <w:tbl>
      <w:tblPr>
        <w:tblW w:w="9360" w:type="dxa"/>
        <w:tblBorders>
          <w:top w:val="single" w:sz="6" w:space="0" w:color="211551"/>
          <w:left w:val="single" w:sz="6" w:space="0" w:color="211551"/>
          <w:bottom w:val="single" w:sz="6" w:space="0" w:color="211551"/>
          <w:right w:val="single" w:sz="6" w:space="0" w:color="211551"/>
          <w:insideH w:val="single" w:sz="6" w:space="0" w:color="211551"/>
          <w:insideV w:val="single" w:sz="6" w:space="0" w:color="21155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5"/>
        <w:gridCol w:w="3496"/>
        <w:gridCol w:w="3289"/>
      </w:tblGrid>
      <w:tr w:rsidR="003178C5" w14:paraId="45E3800B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56322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Category </w:t>
            </w:r>
          </w:p>
        </w:tc>
        <w:tc>
          <w:tcPr>
            <w:tcW w:w="3495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8BB7B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Information to Capture </w:t>
            </w:r>
          </w:p>
        </w:tc>
        <w:tc>
          <w:tcPr>
            <w:tcW w:w="3288" w:type="dxa"/>
            <w:shd w:val="clear" w:color="auto" w:fill="439544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D5D5C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FFFFFF"/>
              </w:rPr>
              <w:t xml:space="preserve">Why it Matters </w:t>
            </w:r>
          </w:p>
        </w:tc>
      </w:tr>
      <w:tr w:rsidR="003178C5" w14:paraId="7A991003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3F5F2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Attendee Travel 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F177C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Attendee locations, travel modes, flight or rail information </w:t>
            </w:r>
          </w:p>
        </w:tc>
        <w:tc>
          <w:tcPr>
            <w:tcW w:w="3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4D055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Often the largest source of event emissions </w:t>
            </w:r>
          </w:p>
        </w:tc>
      </w:tr>
      <w:tr w:rsidR="003178C5" w14:paraId="5ED87400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839B3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Accommodation 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A768D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>Number of room nights and hotel locations,</w:t>
            </w:r>
            <w:r>
              <w:rPr>
                <w:rFonts w:ascii="Aptos" w:eastAsia="Aptos" w:hAnsi="Aptos" w:cs="Aptos"/>
                <w:color w:val="FF0000"/>
              </w:rPr>
              <w:t xml:space="preserve"> </w:t>
            </w:r>
            <w:r>
              <w:rPr>
                <w:rFonts w:ascii="Aptos" w:eastAsia="Aptos" w:hAnsi="Aptos" w:cs="Aptos"/>
                <w:color w:val="000000"/>
              </w:rPr>
              <w:t xml:space="preserve">building specification, stars </w:t>
            </w:r>
          </w:p>
        </w:tc>
        <w:tc>
          <w:tcPr>
            <w:tcW w:w="3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2AFA1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Helps estimate accommodation-related emissions </w:t>
            </w:r>
          </w:p>
        </w:tc>
      </w:tr>
      <w:tr w:rsidR="003178C5" w14:paraId="2420218F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70CE7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Venue 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6B8C9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Venue location and event duration, energy used, building specification </w:t>
            </w:r>
          </w:p>
        </w:tc>
        <w:tc>
          <w:tcPr>
            <w:tcW w:w="3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BB9B4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Supports venue impact assessment </w:t>
            </w:r>
          </w:p>
        </w:tc>
      </w:tr>
      <w:tr w:rsidR="003178C5" w14:paraId="72536EC9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2577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Food &amp; Beverage 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E411D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Number of meals served and menu selections </w:t>
            </w:r>
          </w:p>
        </w:tc>
        <w:tc>
          <w:tcPr>
            <w:tcW w:w="3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4CB2D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Helps understand catering-related impact </w:t>
            </w:r>
          </w:p>
        </w:tc>
      </w:tr>
      <w:tr w:rsidR="003178C5" w14:paraId="12A23803" w14:textId="77777777">
        <w:tblPrEx>
          <w:tblCellMar>
            <w:top w:w="0" w:type="dxa"/>
            <w:bottom w:w="0" w:type="dxa"/>
          </w:tblCellMar>
        </w:tblPrEx>
        <w:tc>
          <w:tcPr>
            <w:tcW w:w="2575" w:type="dxa"/>
            <w:shd w:val="clear" w:color="auto" w:fill="F1EFFC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E1560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 Bold" w:eastAsia="Aptos Bold" w:hAnsi="Aptos Bold" w:cs="Aptos Bold"/>
                <w:b/>
                <w:bCs/>
                <w:color w:val="000000"/>
              </w:rPr>
              <w:t xml:space="preserve">Attendance </w:t>
            </w:r>
          </w:p>
        </w:tc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6BD32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Number of attendees </w:t>
            </w:r>
          </w:p>
        </w:tc>
        <w:tc>
          <w:tcPr>
            <w:tcW w:w="32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4FF47" w14:textId="77777777" w:rsidR="003178C5" w:rsidRDefault="00000000" w:rsidP="003B4EE3">
            <w:pPr>
              <w:spacing w:before="120" w:after="120" w:line="240" w:lineRule="auto"/>
            </w:pPr>
            <w:r>
              <w:rPr>
                <w:rFonts w:ascii="Aptos" w:eastAsia="Aptos" w:hAnsi="Aptos" w:cs="Aptos"/>
                <w:color w:val="000000"/>
              </w:rPr>
              <w:t xml:space="preserve">Provides context for overall event impact </w:t>
            </w:r>
          </w:p>
        </w:tc>
      </w:tr>
    </w:tbl>
    <w:p w14:paraId="744B902C" w14:textId="77777777" w:rsidR="003178C5" w:rsidRDefault="00000000">
      <w:pPr>
        <w:spacing w:before="120" w:after="120" w:line="336" w:lineRule="auto"/>
      </w:pP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 xml:space="preserve"> </w:t>
      </w:r>
    </w:p>
    <w:p w14:paraId="11E6D3F6" w14:textId="6261336E" w:rsidR="003178C5" w:rsidRDefault="00000000" w:rsidP="003B4EE3">
      <w:pPr>
        <w:spacing w:before="120" w:after="120" w:line="240" w:lineRule="auto"/>
      </w:pP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>Where to find the information</w:t>
      </w:r>
      <w:r w:rsidR="003B4EE3"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br/>
      </w:r>
      <w:r>
        <w:rPr>
          <w:rFonts w:ascii="Aptos" w:eastAsia="Aptos" w:hAnsi="Aptos" w:cs="Aptos"/>
          <w:color w:val="000000"/>
          <w:sz w:val="26"/>
          <w:szCs w:val="26"/>
        </w:rPr>
        <w:t>Many organizations already have access to much of the data they need.</w:t>
      </w:r>
      <w:r w:rsidR="003B4EE3">
        <w:rPr>
          <w:rFonts w:ascii="Aptos" w:eastAsia="Aptos" w:hAnsi="Aptos" w:cs="Aptos"/>
          <w:color w:val="000000"/>
          <w:sz w:val="26"/>
          <w:szCs w:val="26"/>
        </w:rPr>
        <w:br/>
      </w:r>
      <w:r>
        <w:rPr>
          <w:rFonts w:ascii="Aptos" w:eastAsia="Aptos" w:hAnsi="Aptos" w:cs="Aptos"/>
          <w:color w:val="000000"/>
          <w:sz w:val="26"/>
          <w:szCs w:val="26"/>
        </w:rPr>
        <w:t xml:space="preserve">Useful starting points include: </w:t>
      </w:r>
      <w:r w:rsidR="003B4EE3">
        <w:rPr>
          <w:rFonts w:ascii="Aptos" w:eastAsia="Aptos" w:hAnsi="Aptos" w:cs="Aptos"/>
          <w:color w:val="000000"/>
          <w:sz w:val="26"/>
          <w:szCs w:val="26"/>
        </w:rPr>
        <w:br/>
      </w:r>
    </w:p>
    <w:p w14:paraId="5F5E2E1A" w14:textId="77777777" w:rsidR="003178C5" w:rsidRDefault="00000000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  <w:u w:val="single" w:color="000000"/>
        </w:rPr>
        <w:t xml:space="preserve">Internal events teams: </w:t>
      </w:r>
    </w:p>
    <w:p w14:paraId="3B1B7BF4" w14:textId="77777777" w:rsidR="003178C5" w:rsidRDefault="00000000" w:rsidP="003B4EE3">
      <w:pPr>
        <w:numPr>
          <w:ilvl w:val="0"/>
          <w:numId w:val="2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Registration systems </w:t>
      </w:r>
    </w:p>
    <w:p w14:paraId="286F17AF" w14:textId="77777777" w:rsidR="003178C5" w:rsidRDefault="00000000" w:rsidP="003B4EE3">
      <w:pPr>
        <w:numPr>
          <w:ilvl w:val="0"/>
          <w:numId w:val="2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Event planning documents </w:t>
      </w:r>
    </w:p>
    <w:p w14:paraId="48EC5876" w14:textId="77777777" w:rsidR="003178C5" w:rsidRDefault="00000000" w:rsidP="003B4EE3">
      <w:pPr>
        <w:numPr>
          <w:ilvl w:val="0"/>
          <w:numId w:val="2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Attendee management tools </w:t>
      </w:r>
    </w:p>
    <w:p w14:paraId="2E0A7013" w14:textId="45FEEA10" w:rsidR="003178C5" w:rsidRDefault="003B4EE3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  <w:u w:val="single" w:color="000000"/>
        </w:rPr>
        <w:br/>
      </w:r>
      <w:r w:rsidR="00000000">
        <w:rPr>
          <w:rFonts w:ascii="Aptos" w:eastAsia="Aptos" w:hAnsi="Aptos" w:cs="Aptos"/>
          <w:color w:val="000000"/>
          <w:sz w:val="26"/>
          <w:szCs w:val="26"/>
          <w:u w:val="single" w:color="000000"/>
        </w:rPr>
        <w:t xml:space="preserve">Suppliers: </w:t>
      </w:r>
    </w:p>
    <w:p w14:paraId="617A4E22" w14:textId="77777777" w:rsidR="003178C5" w:rsidRDefault="00000000" w:rsidP="003B4EE3">
      <w:pPr>
        <w:numPr>
          <w:ilvl w:val="0"/>
          <w:numId w:val="3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Hotels </w:t>
      </w:r>
    </w:p>
    <w:p w14:paraId="2C146843" w14:textId="77777777" w:rsidR="003178C5" w:rsidRDefault="00000000" w:rsidP="003B4EE3">
      <w:pPr>
        <w:numPr>
          <w:ilvl w:val="0"/>
          <w:numId w:val="3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Venues </w:t>
      </w:r>
    </w:p>
    <w:p w14:paraId="25F09A20" w14:textId="77777777" w:rsidR="003178C5" w:rsidRDefault="00000000" w:rsidP="003B4EE3">
      <w:pPr>
        <w:numPr>
          <w:ilvl w:val="0"/>
          <w:numId w:val="3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Catering providers </w:t>
      </w:r>
    </w:p>
    <w:p w14:paraId="1A55718E" w14:textId="77777777" w:rsidR="003178C5" w:rsidRDefault="00000000" w:rsidP="003B4EE3">
      <w:pPr>
        <w:numPr>
          <w:ilvl w:val="0"/>
          <w:numId w:val="3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lastRenderedPageBreak/>
        <w:t xml:space="preserve">Transportation partners </w:t>
      </w:r>
    </w:p>
    <w:p w14:paraId="5AF20357" w14:textId="5F663F41" w:rsidR="003178C5" w:rsidRDefault="003B4EE3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br/>
      </w:r>
      <w:r w:rsidR="00000000">
        <w:rPr>
          <w:rFonts w:ascii="Aptos" w:eastAsia="Aptos" w:hAnsi="Aptos" w:cs="Aptos"/>
          <w:color w:val="000000"/>
          <w:sz w:val="26"/>
          <w:szCs w:val="26"/>
        </w:rPr>
        <w:t xml:space="preserve">Many suppliers are already collecting sustainability data and may be able to support reporting requirements. </w:t>
      </w:r>
    </w:p>
    <w:p w14:paraId="117707A3" w14:textId="77777777" w:rsidR="003178C5" w:rsidRDefault="00000000" w:rsidP="003B4EE3">
      <w:pPr>
        <w:spacing w:before="120" w:after="120" w:line="240" w:lineRule="auto"/>
      </w:pP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> </w:t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br/>
        <w:t>Travel data</w:t>
      </w:r>
      <w:r>
        <w:rPr>
          <w:rFonts w:ascii="Aptos" w:eastAsia="Aptos" w:hAnsi="Aptos" w:cs="Aptos"/>
          <w:color w:val="000000"/>
          <w:sz w:val="26"/>
          <w:szCs w:val="26"/>
        </w:rPr>
        <w:t xml:space="preserve"> </w:t>
      </w:r>
    </w:p>
    <w:p w14:paraId="1E6CA254" w14:textId="77777777" w:rsidR="003178C5" w:rsidRDefault="00000000" w:rsidP="003B4EE3">
      <w:pPr>
        <w:numPr>
          <w:ilvl w:val="0"/>
          <w:numId w:val="4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Booking tools </w:t>
      </w:r>
    </w:p>
    <w:p w14:paraId="489C2723" w14:textId="77777777" w:rsidR="003178C5" w:rsidRDefault="00000000" w:rsidP="003B4EE3">
      <w:pPr>
        <w:numPr>
          <w:ilvl w:val="0"/>
          <w:numId w:val="4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Travel management companies </w:t>
      </w:r>
    </w:p>
    <w:p w14:paraId="29965384" w14:textId="77777777" w:rsidR="003178C5" w:rsidRDefault="00000000" w:rsidP="003B4EE3">
      <w:pPr>
        <w:numPr>
          <w:ilvl w:val="0"/>
          <w:numId w:val="4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Attendee travel surveys </w:t>
      </w:r>
    </w:p>
    <w:p w14:paraId="070EB4B7" w14:textId="7095797A" w:rsidR="003178C5" w:rsidRDefault="003B4EE3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br/>
      </w:r>
      <w:r w:rsidR="00000000">
        <w:rPr>
          <w:rFonts w:ascii="Aptos" w:eastAsia="Aptos" w:hAnsi="Aptos" w:cs="Aptos"/>
          <w:color w:val="000000"/>
          <w:sz w:val="26"/>
          <w:szCs w:val="26"/>
        </w:rPr>
        <w:t xml:space="preserve">These can help identify travel patterns and likely emissions hotspots. </w:t>
      </w:r>
    </w:p>
    <w:p w14:paraId="5A378813" w14:textId="77777777" w:rsidR="003178C5" w:rsidRDefault="00000000" w:rsidP="003B4EE3">
      <w:pPr>
        <w:spacing w:before="120" w:after="120" w:line="240" w:lineRule="auto"/>
      </w:pP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> </w:t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br/>
        <w:t>Don’t try to measure everything </w:t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br/>
      </w:r>
      <w:r>
        <w:rPr>
          <w:rFonts w:ascii="Aptos" w:eastAsia="Aptos" w:hAnsi="Aptos" w:cs="Aptos"/>
          <w:color w:val="000000"/>
          <w:sz w:val="26"/>
          <w:szCs w:val="26"/>
        </w:rPr>
        <w:t xml:space="preserve">One of the most common mistakes is trying to capture every possible data point from day one. </w:t>
      </w:r>
    </w:p>
    <w:p w14:paraId="1F6C3891" w14:textId="77777777" w:rsidR="003178C5" w:rsidRDefault="00000000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Instead: </w:t>
      </w:r>
    </w:p>
    <w:p w14:paraId="15C2C93A" w14:textId="77777777" w:rsidR="003178C5" w:rsidRDefault="00000000" w:rsidP="003B4EE3">
      <w:pPr>
        <w:numPr>
          <w:ilvl w:val="0"/>
          <w:numId w:val="5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Start with one event </w:t>
      </w:r>
    </w:p>
    <w:p w14:paraId="6CAE7289" w14:textId="77777777" w:rsidR="003178C5" w:rsidRDefault="00000000" w:rsidP="003B4EE3">
      <w:pPr>
        <w:numPr>
          <w:ilvl w:val="0"/>
          <w:numId w:val="5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Focus on the biggest impact areas </w:t>
      </w:r>
    </w:p>
    <w:p w14:paraId="7B6CE202" w14:textId="77777777" w:rsidR="003178C5" w:rsidRDefault="00000000" w:rsidP="003B4EE3">
      <w:pPr>
        <w:numPr>
          <w:ilvl w:val="0"/>
          <w:numId w:val="5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Build a repeatable process </w:t>
      </w:r>
    </w:p>
    <w:p w14:paraId="1B276AAE" w14:textId="77777777" w:rsidR="003178C5" w:rsidRDefault="00000000" w:rsidP="003B4EE3">
      <w:pPr>
        <w:numPr>
          <w:ilvl w:val="0"/>
          <w:numId w:val="5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Improve data quality over time </w:t>
      </w:r>
    </w:p>
    <w:p w14:paraId="28D2E101" w14:textId="3C92CA09" w:rsidR="003B4EE3" w:rsidRDefault="003B4EE3" w:rsidP="003B4EE3">
      <w:pPr>
        <w:spacing w:before="120" w:after="120" w:line="240" w:lineRule="auto"/>
        <w:rPr>
          <w:rFonts w:ascii="Aptos" w:eastAsia="Aptos" w:hAnsi="Aptos" w:cs="Aptos"/>
          <w:color w:val="000000"/>
          <w:sz w:val="26"/>
          <w:szCs w:val="26"/>
        </w:rPr>
      </w:pPr>
      <w:r>
        <w:rPr>
          <w:rFonts w:ascii="Aptos" w:eastAsia="Aptos" w:hAnsi="Aptos" w:cs="Aptos"/>
          <w:color w:val="000000"/>
          <w:sz w:val="26"/>
          <w:szCs w:val="26"/>
        </w:rPr>
        <w:br/>
      </w:r>
      <w:r w:rsidR="00000000">
        <w:rPr>
          <w:rFonts w:ascii="Aptos" w:eastAsia="Aptos" w:hAnsi="Aptos" w:cs="Aptos"/>
          <w:color w:val="000000"/>
          <w:sz w:val="26"/>
          <w:szCs w:val="26"/>
        </w:rPr>
        <w:t>The goal is progress, not perfection.</w:t>
      </w:r>
    </w:p>
    <w:p w14:paraId="789D0FA6" w14:textId="77777777" w:rsidR="003B4EE3" w:rsidRDefault="003B4EE3" w:rsidP="003B4EE3">
      <w:pPr>
        <w:spacing w:before="120" w:after="120" w:line="240" w:lineRule="auto"/>
        <w:rPr>
          <w:rFonts w:ascii="Aptos" w:eastAsia="Aptos" w:hAnsi="Aptos" w:cs="Aptos"/>
          <w:color w:val="000000"/>
          <w:sz w:val="26"/>
          <w:szCs w:val="26"/>
        </w:rPr>
      </w:pPr>
    </w:p>
    <w:p w14:paraId="523443BE" w14:textId="3D0EB75C" w:rsidR="003178C5" w:rsidRDefault="00000000" w:rsidP="003B4EE3">
      <w:pPr>
        <w:spacing w:before="120" w:after="120" w:line="240" w:lineRule="auto"/>
      </w:pP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t>What becomes possible </w:t>
      </w:r>
      <w:r>
        <w:rPr>
          <w:rFonts w:ascii="Aptos Bold" w:eastAsia="Aptos Bold" w:hAnsi="Aptos Bold" w:cs="Aptos Bold"/>
          <w:b/>
          <w:bCs/>
          <w:color w:val="000000"/>
          <w:sz w:val="26"/>
          <w:szCs w:val="26"/>
        </w:rPr>
        <w:br/>
      </w:r>
      <w:r>
        <w:rPr>
          <w:rFonts w:ascii="Aptos" w:eastAsia="Aptos" w:hAnsi="Aptos" w:cs="Aptos"/>
          <w:color w:val="000000"/>
          <w:sz w:val="26"/>
          <w:szCs w:val="26"/>
        </w:rPr>
        <w:t xml:space="preserve">Once you have basic measurement in place, you can begin to: </w:t>
      </w:r>
    </w:p>
    <w:p w14:paraId="3A17A225" w14:textId="77777777" w:rsidR="003178C5" w:rsidRDefault="00000000" w:rsidP="003B4EE3">
      <w:pPr>
        <w:numPr>
          <w:ilvl w:val="0"/>
          <w:numId w:val="6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Identify the largest sources of event emissions </w:t>
      </w:r>
    </w:p>
    <w:p w14:paraId="37B44247" w14:textId="77777777" w:rsidR="003178C5" w:rsidRDefault="00000000" w:rsidP="003B4EE3">
      <w:pPr>
        <w:numPr>
          <w:ilvl w:val="0"/>
          <w:numId w:val="6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Compare destinations and venue options </w:t>
      </w:r>
    </w:p>
    <w:p w14:paraId="195F79A8" w14:textId="77777777" w:rsidR="003178C5" w:rsidRDefault="00000000" w:rsidP="003B4EE3">
      <w:pPr>
        <w:numPr>
          <w:ilvl w:val="0"/>
          <w:numId w:val="6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Set sustainability goals </w:t>
      </w:r>
    </w:p>
    <w:p w14:paraId="7ECAF007" w14:textId="77777777" w:rsidR="003178C5" w:rsidRDefault="00000000" w:rsidP="003B4EE3">
      <w:pPr>
        <w:numPr>
          <w:ilvl w:val="0"/>
          <w:numId w:val="6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Track improvement over time </w:t>
      </w:r>
    </w:p>
    <w:p w14:paraId="4A67401E" w14:textId="77777777" w:rsidR="003178C5" w:rsidRDefault="00000000" w:rsidP="003B4EE3">
      <w:pPr>
        <w:numPr>
          <w:ilvl w:val="0"/>
          <w:numId w:val="6"/>
        </w:numPr>
        <w:spacing w:after="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Support internal reporting requirements </w:t>
      </w:r>
    </w:p>
    <w:p w14:paraId="7613973C" w14:textId="6CD182C6" w:rsidR="003178C5" w:rsidRDefault="003B4EE3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br/>
      </w:r>
      <w:r w:rsidR="00000000">
        <w:rPr>
          <w:rFonts w:ascii="Aptos" w:eastAsia="Aptos" w:hAnsi="Aptos" w:cs="Aptos"/>
          <w:color w:val="000000"/>
          <w:sz w:val="26"/>
          <w:szCs w:val="26"/>
        </w:rPr>
        <w:t xml:space="preserve">Make more informed event planning decisions. </w:t>
      </w:r>
    </w:p>
    <w:p w14:paraId="3A12CE3A" w14:textId="77777777" w:rsidR="003B4EE3" w:rsidRDefault="00000000">
      <w:pPr>
        <w:spacing w:before="120" w:after="120" w:line="336" w:lineRule="auto"/>
        <w:rPr>
          <w:rFonts w:ascii="Aptos Bold" w:eastAsia="Aptos Bold" w:hAnsi="Aptos Bold" w:cs="Aptos Bold"/>
          <w:b/>
          <w:bCs/>
          <w:color w:val="439544"/>
          <w:sz w:val="32"/>
          <w:szCs w:val="32"/>
        </w:rPr>
      </w:pP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t> </w:t>
      </w: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br/>
      </w:r>
    </w:p>
    <w:p w14:paraId="689DDEEB" w14:textId="2D4B3A92" w:rsidR="003178C5" w:rsidRPr="003B4EE3" w:rsidRDefault="00000000">
      <w:pPr>
        <w:spacing w:before="120" w:after="120" w:line="336" w:lineRule="auto"/>
        <w:rPr>
          <w:rFonts w:ascii="Aptos Bold" w:eastAsia="Aptos Bold" w:hAnsi="Aptos Bold" w:cs="Aptos Bold"/>
          <w:b/>
          <w:bCs/>
          <w:color w:val="439544"/>
          <w:sz w:val="32"/>
          <w:szCs w:val="32"/>
        </w:rPr>
      </w:pPr>
      <w:r>
        <w:rPr>
          <w:rFonts w:ascii="Aptos Bold" w:eastAsia="Aptos Bold" w:hAnsi="Aptos Bold" w:cs="Aptos Bold"/>
          <w:b/>
          <w:bCs/>
          <w:color w:val="439544"/>
          <w:sz w:val="32"/>
          <w:szCs w:val="32"/>
        </w:rPr>
        <w:lastRenderedPageBreak/>
        <w:t xml:space="preserve">WORK WITH A PARTNER </w:t>
      </w:r>
    </w:p>
    <w:p w14:paraId="0B7DBC75" w14:textId="77777777" w:rsidR="003178C5" w:rsidRDefault="00000000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 xml:space="preserve">Many organizations begin with simple measurement and gradually build a more detailed understanding of event emissions over time. </w:t>
      </w:r>
    </w:p>
    <w:p w14:paraId="71B39B3C" w14:textId="77777777" w:rsidR="003178C5" w:rsidRDefault="00000000" w:rsidP="003B4EE3">
      <w:pPr>
        <w:spacing w:before="120" w:after="120" w:line="240" w:lineRule="auto"/>
      </w:pPr>
      <w:r>
        <w:rPr>
          <w:rFonts w:ascii="Aptos" w:eastAsia="Aptos" w:hAnsi="Aptos" w:cs="Aptos"/>
          <w:color w:val="000000"/>
          <w:sz w:val="26"/>
          <w:szCs w:val="26"/>
        </w:rPr>
        <w:t>BCD Meetings &amp; Events supports organizations with carbon measurement, reporting and sustainability planning, helping create greater visibility and identify opportunities for improvement across meetings and events programs. </w:t>
      </w:r>
      <w:r>
        <w:rPr>
          <w:rFonts w:ascii="Aptos" w:eastAsia="Aptos" w:hAnsi="Aptos" w:cs="Aptos"/>
          <w:color w:val="000000"/>
          <w:sz w:val="26"/>
          <w:szCs w:val="26"/>
        </w:rPr>
        <w:br/>
        <w:t xml:space="preserve"> </w:t>
      </w:r>
    </w:p>
    <w:p w14:paraId="1257389F" w14:textId="77777777" w:rsidR="003178C5" w:rsidRDefault="00000000">
      <w:pPr>
        <w:spacing w:before="120" w:after="120"/>
        <w:jc w:val="center"/>
      </w:pPr>
      <w:r>
        <w:rPr>
          <w:noProof/>
        </w:rPr>
        <w:drawing>
          <wp:inline distT="0" distB="0" distL="0" distR="0" wp14:anchorId="51FCA79C" wp14:editId="64B6DEB1">
            <wp:extent cx="5943600" cy="1436914"/>
            <wp:effectExtent l="0" t="0" r="0" b="0"/>
            <wp:docPr id="1" name="Drawing 1" descr="120e70ec8-d100-4d75-92a7-1822eb10bf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e70ec8-d100-4d75-92a7-1822eb10bf4c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EDED" w14:textId="77777777" w:rsidR="003178C5" w:rsidRDefault="00000000">
      <w:pPr>
        <w:spacing w:before="120" w:after="120" w:line="336" w:lineRule="auto"/>
      </w:pPr>
      <w:r>
        <w:rPr>
          <w:rFonts w:ascii="Aptos" w:eastAsia="Aptos" w:hAnsi="Aptos" w:cs="Aptos"/>
          <w:color w:val="000000"/>
        </w:rPr>
        <w:t xml:space="preserve"> </w:t>
      </w:r>
    </w:p>
    <w:sectPr w:rsidR="003178C5">
      <w:pgSz w:w="12240" w:h="1581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0F825EE-EA94-CC4C-9026-ECEF0D1B31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03865D3-227D-6649-BB90-06B706C298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F5FE005-AF01-7D48-B924-A96CE788327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EBDE2852-F662-C940-970A-371D5CDB3BD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7ECF4DA9-47AA-3740-83C6-9ACD568799D7}"/>
  </w:font>
  <w:font w:name="Aptos Bold">
    <w:altName w:val="Aptos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090665E8-01C7-9647-AB1A-9D1B7B76202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A1651A"/>
    <w:multiLevelType w:val="hybridMultilevel"/>
    <w:tmpl w:val="C818D2CE"/>
    <w:lvl w:ilvl="0" w:tplc="D6DA02C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E9C2DC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BD873C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28A723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DD4D4E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B00E86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8585F7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2E244A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52233C0">
      <w:numFmt w:val="decimal"/>
      <w:lvlText w:val=""/>
      <w:lvlJc w:val="left"/>
    </w:lvl>
  </w:abstractNum>
  <w:abstractNum w:abstractNumId="1" w15:restartNumberingAfterBreak="0">
    <w:nsid w:val="4EB958D7"/>
    <w:multiLevelType w:val="hybridMultilevel"/>
    <w:tmpl w:val="DED4000C"/>
    <w:lvl w:ilvl="0" w:tplc="0F08F00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1E6F06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88A307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9192075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510F6A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61A2F9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9C084B1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49CE1C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716F062">
      <w:numFmt w:val="decimal"/>
      <w:lvlText w:val=""/>
      <w:lvlJc w:val="left"/>
    </w:lvl>
  </w:abstractNum>
  <w:abstractNum w:abstractNumId="2" w15:restartNumberingAfterBreak="0">
    <w:nsid w:val="559B62D4"/>
    <w:multiLevelType w:val="hybridMultilevel"/>
    <w:tmpl w:val="6A361A96"/>
    <w:lvl w:ilvl="0" w:tplc="516C134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3D26B1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F5E8F9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C26093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6CEF53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1D6CB8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0F27FD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C122CE6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0CCAFDEE">
      <w:numFmt w:val="decimal"/>
      <w:lvlText w:val=""/>
      <w:lvlJc w:val="left"/>
    </w:lvl>
  </w:abstractNum>
  <w:abstractNum w:abstractNumId="3" w15:restartNumberingAfterBreak="0">
    <w:nsid w:val="5E1924F6"/>
    <w:multiLevelType w:val="hybridMultilevel"/>
    <w:tmpl w:val="337A4512"/>
    <w:lvl w:ilvl="0" w:tplc="2C6CB0D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55FAB04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E78A4C6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88A51C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480457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5D2C7A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3589A9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076DD9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23C296C">
      <w:numFmt w:val="decimal"/>
      <w:lvlText w:val=""/>
      <w:lvlJc w:val="left"/>
    </w:lvl>
  </w:abstractNum>
  <w:abstractNum w:abstractNumId="4" w15:restartNumberingAfterBreak="0">
    <w:nsid w:val="619979DE"/>
    <w:multiLevelType w:val="hybridMultilevel"/>
    <w:tmpl w:val="11368F4A"/>
    <w:lvl w:ilvl="0" w:tplc="79784EE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3C26B5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7E8B01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F7A26D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AFC114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B9842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050E4C2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E1E118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A52DB5E">
      <w:numFmt w:val="decimal"/>
      <w:lvlText w:val=""/>
      <w:lvlJc w:val="left"/>
    </w:lvl>
  </w:abstractNum>
  <w:abstractNum w:abstractNumId="5" w15:restartNumberingAfterBreak="0">
    <w:nsid w:val="6FEF773A"/>
    <w:multiLevelType w:val="hybridMultilevel"/>
    <w:tmpl w:val="77ECF74A"/>
    <w:lvl w:ilvl="0" w:tplc="6150B52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7B0D97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872FF1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B0C4626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57CD1D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5A84BF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C6A59E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296FD5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9FA1EB2">
      <w:numFmt w:val="decimal"/>
      <w:lvlText w:val=""/>
      <w:lvlJc w:val="left"/>
    </w:lvl>
  </w:abstractNum>
  <w:num w:numId="1" w16cid:durableId="976302091">
    <w:abstractNumId w:val="1"/>
  </w:num>
  <w:num w:numId="2" w16cid:durableId="1869637965">
    <w:abstractNumId w:val="0"/>
  </w:num>
  <w:num w:numId="3" w16cid:durableId="3751581">
    <w:abstractNumId w:val="3"/>
  </w:num>
  <w:num w:numId="4" w16cid:durableId="708839911">
    <w:abstractNumId w:val="2"/>
  </w:num>
  <w:num w:numId="5" w16cid:durableId="1282692176">
    <w:abstractNumId w:val="4"/>
  </w:num>
  <w:num w:numId="6" w16cid:durableId="1319269479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C5"/>
    <w:rsid w:val="003178C5"/>
    <w:rsid w:val="003B4EE3"/>
    <w:rsid w:val="00B2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893FB"/>
  <w15:docId w15:val="{5B994930-3001-214C-90E6-E191FCA8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4893c79-056d-44f5-9e05-582500cb3434}" enabled="1" method="Standard" siteId="{cdb191c8-fc03-4343-aead-2808b21fd51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Magnet | Sustainability | Carbon Measurement Checklist</dc:title>
  <dc:creator>Apache POI</dc:creator>
  <cp:lastModifiedBy>Gina Guarino (US)</cp:lastModifiedBy>
  <cp:revision>2</cp:revision>
  <dcterms:created xsi:type="dcterms:W3CDTF">2026-08-18T15:02:00Z</dcterms:created>
  <dcterms:modified xsi:type="dcterms:W3CDTF">2026-08-18T15:45:00Z</dcterms:modified>
</cp:coreProperties>
</file>