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DB405F" w14:textId="77777777" w:rsidR="00770245" w:rsidRDefault="0000000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779193" wp14:editId="21188B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946986"/>
            <wp:effectExtent l="0" t="0" r="0" b="0"/>
            <wp:wrapTopAndBottom/>
            <wp:docPr id="1626417865" name="Drawing 0" descr="1937aa123-f738-4401-81d4-cbd25f9a53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937aa123-f738-4401-81d4-cbd25f9a53d0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94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14BDD" w14:textId="77777777" w:rsidR="00770245" w:rsidRDefault="00000000">
      <w:pPr>
        <w:spacing w:before="120" w:after="120" w:line="336" w:lineRule="auto"/>
      </w:pPr>
      <w:r>
        <w:rPr>
          <w:rFonts w:ascii="Aptos" w:eastAsia="Aptos" w:hAnsi="Aptos" w:cs="Aptos"/>
          <w:color w:val="404040"/>
        </w:rPr>
        <w:t xml:space="preserve"> </w:t>
      </w:r>
    </w:p>
    <w:tbl>
      <w:tblPr>
        <w:tblW w:w="936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70245" w14:paraId="145C5EF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1EFF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7081E7A" w14:textId="61A16F10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6"/>
                <w:szCs w:val="26"/>
              </w:rPr>
              <w:t xml:space="preserve">This scorecard helps you compare venue options against the same set </w:t>
            </w:r>
            <w:r w:rsidR="00457828">
              <w:rPr>
                <w:rFonts w:ascii="Aptos" w:eastAsia="Aptos" w:hAnsi="Aptos" w:cs="Aptos"/>
                <w:color w:val="000000"/>
                <w:sz w:val="26"/>
                <w:szCs w:val="26"/>
              </w:rPr>
              <w:br/>
            </w:r>
            <w:r>
              <w:rPr>
                <w:rFonts w:ascii="Aptos" w:eastAsia="Aptos" w:hAnsi="Aptos" w:cs="Aptos"/>
                <w:color w:val="000000"/>
                <w:sz w:val="26"/>
                <w:szCs w:val="26"/>
              </w:rPr>
              <w:t xml:space="preserve">of criteria. It is designed to support more informed decision-making, rather </w:t>
            </w:r>
            <w:r w:rsidR="00457828">
              <w:rPr>
                <w:rFonts w:ascii="Aptos" w:eastAsia="Aptos" w:hAnsi="Aptos" w:cs="Aptos"/>
                <w:color w:val="000000"/>
                <w:sz w:val="26"/>
                <w:szCs w:val="26"/>
              </w:rPr>
              <w:br/>
            </w:r>
            <w:r>
              <w:rPr>
                <w:rFonts w:ascii="Aptos" w:eastAsia="Aptos" w:hAnsi="Aptos" w:cs="Aptos"/>
                <w:color w:val="000000"/>
                <w:sz w:val="26"/>
                <w:szCs w:val="26"/>
              </w:rPr>
              <w:t xml:space="preserve">than label a venue as "sustainable" or "unsustainable". </w:t>
            </w:r>
          </w:p>
          <w:p w14:paraId="7D85E2D7" w14:textId="10F25EA4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6"/>
                <w:szCs w:val="26"/>
              </w:rPr>
              <w:t xml:space="preserve">Sustainability is complex, and no single scorecard can capture every factor. </w:t>
            </w:r>
            <w:r w:rsidR="00457828">
              <w:rPr>
                <w:rFonts w:ascii="Aptos" w:eastAsia="Aptos" w:hAnsi="Aptos" w:cs="Aptos"/>
                <w:color w:val="000000"/>
                <w:sz w:val="26"/>
                <w:szCs w:val="26"/>
              </w:rPr>
              <w:br/>
            </w:r>
            <w:r>
              <w:rPr>
                <w:rFonts w:ascii="Aptos" w:eastAsia="Aptos" w:hAnsi="Aptos" w:cs="Aptos"/>
                <w:color w:val="000000"/>
                <w:sz w:val="26"/>
                <w:szCs w:val="26"/>
              </w:rPr>
              <w:t xml:space="preserve">Use this as a starting point to ask better questions and compare your options more consistently.  </w:t>
            </w:r>
          </w:p>
        </w:tc>
      </w:tr>
    </w:tbl>
    <w:p w14:paraId="36B43C84" w14:textId="77777777" w:rsidR="0077024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000000"/>
        </w:rPr>
        <w:t xml:space="preserve"> </w:t>
      </w:r>
    </w:p>
    <w:p w14:paraId="3B82676D" w14:textId="77777777" w:rsidR="0077024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t xml:space="preserve">HOW TO USE THIS SCORECARD </w:t>
      </w:r>
    </w:p>
    <w:p w14:paraId="14C6816A" w14:textId="77777777" w:rsidR="00770245" w:rsidRDefault="00000000" w:rsidP="00457828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>For each venue you're considering, gather responses to the questions below.  </w:t>
      </w:r>
      <w:r>
        <w:rPr>
          <w:rFonts w:ascii="Aptos" w:eastAsia="Aptos" w:hAnsi="Aptos" w:cs="Aptos"/>
          <w:color w:val="000000"/>
          <w:sz w:val="26"/>
          <w:szCs w:val="26"/>
        </w:rPr>
        <w:br/>
        <w:t>Where possible, ask for evidence rather than relying solely on sustainability claims. </w:t>
      </w:r>
      <w:r>
        <w:rPr>
          <w:rFonts w:ascii="Aptos" w:eastAsia="Aptos" w:hAnsi="Aptos" w:cs="Aptos"/>
          <w:color w:val="000000"/>
          <w:sz w:val="26"/>
          <w:szCs w:val="26"/>
        </w:rPr>
        <w:br/>
        <w:t xml:space="preserve"> </w:t>
      </w:r>
    </w:p>
    <w:p w14:paraId="1E5F778E" w14:textId="77777777" w:rsidR="00770245" w:rsidRDefault="00000000" w:rsidP="00457828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>Record each response in the table and assign a score up to the maximum shown. </w:t>
      </w:r>
      <w:r>
        <w:rPr>
          <w:rFonts w:ascii="Aptos" w:eastAsia="Aptos" w:hAnsi="Aptos" w:cs="Aptos"/>
          <w:color w:val="000000"/>
          <w:sz w:val="26"/>
          <w:szCs w:val="26"/>
        </w:rPr>
        <w:br/>
        <w:t xml:space="preserve"> </w:t>
      </w:r>
    </w:p>
    <w:p w14:paraId="4F7A5754" w14:textId="77777777" w:rsidR="00770245" w:rsidRDefault="00000000" w:rsidP="00457828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>A clear and evidenced "Yes" can receive the full score. A "No" should score zero. </w:t>
      </w:r>
      <w:r>
        <w:rPr>
          <w:rFonts w:ascii="Aptos" w:eastAsia="Aptos" w:hAnsi="Aptos" w:cs="Aptos"/>
          <w:color w:val="000000"/>
          <w:sz w:val="26"/>
          <w:szCs w:val="26"/>
        </w:rPr>
        <w:br/>
        <w:t xml:space="preserve"> </w:t>
      </w:r>
    </w:p>
    <w:p w14:paraId="23751C11" w14:textId="77777777" w:rsidR="00770245" w:rsidRDefault="00000000" w:rsidP="00457828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>Where the answer sits somewhere in between, use your judgement and award  </w:t>
      </w:r>
      <w:r>
        <w:rPr>
          <w:rFonts w:ascii="Aptos" w:eastAsia="Aptos" w:hAnsi="Aptos" w:cs="Aptos"/>
          <w:color w:val="000000"/>
          <w:sz w:val="26"/>
          <w:szCs w:val="26"/>
        </w:rPr>
        <w:br/>
        <w:t>a partial score. </w:t>
      </w:r>
      <w:r>
        <w:rPr>
          <w:rFonts w:ascii="Aptos" w:eastAsia="Aptos" w:hAnsi="Aptos" w:cs="Aptos"/>
          <w:color w:val="000000"/>
          <w:sz w:val="26"/>
          <w:szCs w:val="26"/>
        </w:rPr>
        <w:br/>
        <w:t xml:space="preserve"> </w:t>
      </w:r>
    </w:p>
    <w:p w14:paraId="5EC276E4" w14:textId="77777777" w:rsidR="00770245" w:rsidRDefault="00000000" w:rsidP="00457828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Once completed, add the scores to calculate a total out of 230 for each venue. </w:t>
      </w:r>
    </w:p>
    <w:p w14:paraId="6557E3F0" w14:textId="77777777" w:rsidR="00770245" w:rsidRDefault="00000000">
      <w:pPr>
        <w:spacing w:before="120" w:after="120" w:line="336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 </w:t>
      </w:r>
    </w:p>
    <w:p w14:paraId="1BE6B692" w14:textId="77777777" w:rsidR="00457828" w:rsidRDefault="00457828">
      <w:pPr>
        <w:spacing w:before="120" w:after="120" w:line="336" w:lineRule="auto"/>
        <w:rPr>
          <w:rFonts w:ascii="Aptos Bold" w:eastAsia="Aptos Bold" w:hAnsi="Aptos Bold" w:cs="Aptos Bold"/>
          <w:b/>
          <w:bCs/>
          <w:color w:val="439544"/>
          <w:sz w:val="32"/>
          <w:szCs w:val="32"/>
        </w:rPr>
      </w:pPr>
    </w:p>
    <w:p w14:paraId="20AC724C" w14:textId="77777777" w:rsidR="00457828" w:rsidRDefault="00457828">
      <w:pPr>
        <w:spacing w:before="120" w:after="120" w:line="336" w:lineRule="auto"/>
        <w:rPr>
          <w:rFonts w:ascii="Aptos Bold" w:eastAsia="Aptos Bold" w:hAnsi="Aptos Bold" w:cs="Aptos Bold"/>
          <w:b/>
          <w:bCs/>
          <w:color w:val="439544"/>
          <w:sz w:val="32"/>
          <w:szCs w:val="32"/>
        </w:rPr>
      </w:pPr>
    </w:p>
    <w:p w14:paraId="77D06997" w14:textId="7CF6BC8D" w:rsidR="0077024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lastRenderedPageBreak/>
        <w:t xml:space="preserve">UNDERSTANDING THE RESULTS </w:t>
      </w:r>
    </w:p>
    <w:p w14:paraId="116FCC48" w14:textId="77777777" w:rsidR="00770245" w:rsidRDefault="00000000" w:rsidP="00457828">
      <w:pPr>
        <w:numPr>
          <w:ilvl w:val="0"/>
          <w:numId w:val="2"/>
        </w:numPr>
        <w:spacing w:after="0" w:line="240" w:lineRule="auto"/>
      </w:pPr>
      <w:r>
        <w:rPr>
          <w:rFonts w:ascii="Aptos" w:eastAsia="Aptos" w:hAnsi="Aptos" w:cs="Aptos"/>
          <w:color w:val="282829"/>
          <w:sz w:val="26"/>
          <w:szCs w:val="26"/>
        </w:rPr>
        <w:t>The score is designed to help you compare venues consistently. It should be used alongside other considerations, including location, cost, accessibility and attendee experience. </w:t>
      </w:r>
      <w:r>
        <w:rPr>
          <w:rFonts w:ascii="Aptos" w:eastAsia="Aptos" w:hAnsi="Aptos" w:cs="Aptos"/>
          <w:color w:val="282829"/>
          <w:sz w:val="26"/>
          <w:szCs w:val="26"/>
        </w:rPr>
        <w:br/>
        <w:t xml:space="preserve"> </w:t>
      </w:r>
    </w:p>
    <w:p w14:paraId="08FC9464" w14:textId="77777777" w:rsidR="00770245" w:rsidRDefault="00000000" w:rsidP="00457828">
      <w:pPr>
        <w:numPr>
          <w:ilvl w:val="0"/>
          <w:numId w:val="2"/>
        </w:numPr>
        <w:spacing w:after="0" w:line="240" w:lineRule="auto"/>
      </w:pPr>
      <w:r>
        <w:rPr>
          <w:rFonts w:ascii="Aptos" w:eastAsia="Aptos" w:hAnsi="Aptos" w:cs="Aptos"/>
          <w:color w:val="282829"/>
          <w:sz w:val="26"/>
          <w:szCs w:val="26"/>
        </w:rPr>
        <w:t>Not every question carries the same weighting. Some factors are likely to have a greater influence on overall event impact than others, which is why higher scores are assigned to certain questions. </w:t>
      </w:r>
      <w:r>
        <w:rPr>
          <w:rFonts w:ascii="Aptos" w:eastAsia="Aptos" w:hAnsi="Aptos" w:cs="Aptos"/>
          <w:color w:val="282829"/>
          <w:sz w:val="26"/>
          <w:szCs w:val="26"/>
        </w:rPr>
        <w:br/>
        <w:t xml:space="preserve"> </w:t>
      </w:r>
    </w:p>
    <w:p w14:paraId="5CD57693" w14:textId="77777777" w:rsidR="00770245" w:rsidRDefault="00000000" w:rsidP="00457828">
      <w:pPr>
        <w:numPr>
          <w:ilvl w:val="0"/>
          <w:numId w:val="2"/>
        </w:numPr>
        <w:spacing w:after="0" w:line="240" w:lineRule="auto"/>
      </w:pPr>
      <w:r>
        <w:rPr>
          <w:rFonts w:ascii="Aptos" w:eastAsia="Aptos" w:hAnsi="Aptos" w:cs="Aptos"/>
          <w:color w:val="282829"/>
          <w:sz w:val="26"/>
          <w:szCs w:val="26"/>
        </w:rPr>
        <w:t xml:space="preserve">The score is not intended to show whether a venue is "sustainable" or "unsustainable", nor whether a venue has "passed" or "failed". Instead, it provides a more structured way to: </w:t>
      </w:r>
    </w:p>
    <w:p w14:paraId="0432D2BA" w14:textId="77777777" w:rsidR="00770245" w:rsidRDefault="00000000" w:rsidP="00457828">
      <w:pPr>
        <w:numPr>
          <w:ilvl w:val="1"/>
          <w:numId w:val="2"/>
        </w:numPr>
        <w:spacing w:after="0" w:line="240" w:lineRule="auto"/>
      </w:pPr>
      <w:r>
        <w:rPr>
          <w:rFonts w:ascii="Aptos" w:eastAsia="Aptos" w:hAnsi="Aptos" w:cs="Aptos"/>
          <w:color w:val="282829"/>
          <w:sz w:val="26"/>
          <w:szCs w:val="26"/>
        </w:rPr>
        <w:t xml:space="preserve">Compare venues against the same criteria </w:t>
      </w:r>
    </w:p>
    <w:p w14:paraId="2CCADD92" w14:textId="77777777" w:rsidR="00770245" w:rsidRDefault="00000000" w:rsidP="00457828">
      <w:pPr>
        <w:numPr>
          <w:ilvl w:val="1"/>
          <w:numId w:val="2"/>
        </w:numPr>
        <w:spacing w:after="0" w:line="240" w:lineRule="auto"/>
      </w:pPr>
      <w:r>
        <w:rPr>
          <w:rFonts w:ascii="Aptos" w:eastAsia="Aptos" w:hAnsi="Aptos" w:cs="Aptos"/>
          <w:color w:val="282829"/>
          <w:sz w:val="26"/>
          <w:szCs w:val="26"/>
        </w:rPr>
        <w:t xml:space="preserve">Identify where stronger sustainability practices are in place </w:t>
      </w:r>
    </w:p>
    <w:p w14:paraId="7DA3061F" w14:textId="77777777" w:rsidR="00770245" w:rsidRDefault="00000000" w:rsidP="00457828">
      <w:pPr>
        <w:numPr>
          <w:ilvl w:val="1"/>
          <w:numId w:val="2"/>
        </w:numPr>
        <w:spacing w:after="0" w:line="240" w:lineRule="auto"/>
      </w:pPr>
      <w:r>
        <w:rPr>
          <w:rFonts w:ascii="Aptos" w:eastAsia="Aptos" w:hAnsi="Aptos" w:cs="Aptos"/>
          <w:color w:val="282829"/>
          <w:sz w:val="26"/>
          <w:szCs w:val="26"/>
        </w:rPr>
        <w:t xml:space="preserve">Highlight areas where further questions or improvements may be needed </w:t>
      </w:r>
    </w:p>
    <w:p w14:paraId="722EDC87" w14:textId="77777777" w:rsidR="00770245" w:rsidRDefault="00000000" w:rsidP="00457828">
      <w:pPr>
        <w:numPr>
          <w:ilvl w:val="1"/>
          <w:numId w:val="2"/>
        </w:numPr>
        <w:spacing w:after="0" w:line="240" w:lineRule="auto"/>
      </w:pPr>
      <w:r>
        <w:rPr>
          <w:rFonts w:ascii="Aptos" w:eastAsia="Aptos" w:hAnsi="Aptos" w:cs="Aptos"/>
          <w:color w:val="282829"/>
          <w:sz w:val="26"/>
          <w:szCs w:val="26"/>
        </w:rPr>
        <w:t xml:space="preserve">Understand which factors are likely to have the greatest impact overall </w:t>
      </w:r>
    </w:p>
    <w:p w14:paraId="75B57029" w14:textId="4C9CBD6B" w:rsidR="00457828" w:rsidRPr="00457828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439544"/>
          <w:sz w:val="28"/>
          <w:szCs w:val="28"/>
        </w:rPr>
        <w:t xml:space="preserve"> </w:t>
      </w:r>
    </w:p>
    <w:p w14:paraId="46C87D27" w14:textId="6626B332" w:rsidR="0077024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t xml:space="preserve">SUSTAINABLE VENUE SCORECARD </w:t>
      </w:r>
    </w:p>
    <w:tbl>
      <w:tblPr>
        <w:tblW w:w="9360" w:type="dxa"/>
        <w:tblBorders>
          <w:top w:val="single" w:sz="3" w:space="0" w:color="211551"/>
          <w:left w:val="single" w:sz="3" w:space="0" w:color="211551"/>
          <w:bottom w:val="single" w:sz="3" w:space="0" w:color="211551"/>
          <w:right w:val="single" w:sz="3" w:space="0" w:color="211551"/>
          <w:insideH w:val="single" w:sz="3" w:space="0" w:color="211551"/>
          <w:insideV w:val="single" w:sz="3" w:space="0" w:color="21155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4"/>
        <w:gridCol w:w="1745"/>
        <w:gridCol w:w="1936"/>
        <w:gridCol w:w="1231"/>
        <w:gridCol w:w="1224"/>
        <w:gridCol w:w="785"/>
        <w:gridCol w:w="785"/>
      </w:tblGrid>
      <w:tr w:rsidR="00770245" w14:paraId="63DBF32F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61D55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Area </w:t>
            </w:r>
          </w:p>
        </w:tc>
        <w:tc>
          <w:tcPr>
            <w:tcW w:w="1745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00964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Question </w:t>
            </w:r>
          </w:p>
        </w:tc>
        <w:tc>
          <w:tcPr>
            <w:tcW w:w="1936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50E0F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What to look for </w:t>
            </w:r>
          </w:p>
        </w:tc>
        <w:tc>
          <w:tcPr>
            <w:tcW w:w="1231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08ED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Response </w:t>
            </w:r>
          </w:p>
        </w:tc>
        <w:tc>
          <w:tcPr>
            <w:tcW w:w="1224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83DC5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Evidence / Notes </w:t>
            </w:r>
          </w:p>
        </w:tc>
        <w:tc>
          <w:tcPr>
            <w:tcW w:w="785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687F5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Max Score </w:t>
            </w:r>
          </w:p>
        </w:tc>
        <w:tc>
          <w:tcPr>
            <w:tcW w:w="785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A903B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Your Score </w:t>
            </w:r>
          </w:p>
        </w:tc>
      </w:tr>
      <w:tr w:rsidR="00770245" w14:paraId="783F02D1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D446B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>Venue location  </w:t>
            </w: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br/>
              <w:t xml:space="preserve">and access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67765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Are the main venues, hotels or event spaces within walking distance of each other?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F0BDA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Consider whether attendees can move between key locations without needing additional transport. This may include the main venue, hotels, evening event spaces or breakout locations.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6597A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3760E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4CB7E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70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7F2F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5A092456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BF67A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>Venue location  </w:t>
            </w: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br/>
              <w:t xml:space="preserve">and access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B6508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Can attendees realistically use public transport to reach or move </w:t>
            </w: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around the venue area?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FE563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Look at whether public transport is available, practical and </w:t>
            </w: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suitable for the attendee group. This could include rail, metro, tram, bus or other local transport options.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FB5A5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85B01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7E399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31AD5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53766976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3D19B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>Venue location  </w:t>
            </w: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br/>
              <w:t xml:space="preserve">and access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D0366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Are planned group transfers being used where walking or public transport is not practical?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81C99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Consider whether shared transfers are being planned to reduce individual taxi, private car or separate transfer journeys.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DEA6F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7576C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1C5CB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C474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5F20E887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8AD1C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Certifications and recognized standard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5CB76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Does the venue hold a recognized sustainability certification, such as GSTC, LEED or BREEAM?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B41DC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Check whether the venue has current, recognized certification that can be verified.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A91FB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F03CD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1C376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30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46699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0779DB2A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560EE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Certifications and recognized standard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454C9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Does the venue hold </w:t>
            </w:r>
            <w:proofErr w:type="spellStart"/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Travalyst</w:t>
            </w:r>
            <w:proofErr w:type="spellEnd"/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certification?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5AA6B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Check whether the venue has this certification and whether it is current and relevant to the venue being assessed.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7870A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45F01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D7112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792DD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33FE53AE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99A8B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Certifications and recognized standard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AC0DA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Does the venue hold any other relevant sustainability certifications?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55CC9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Capture any other sustainability-related certifications, standards or accreditations the venue provides.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572F2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78547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0ED0E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2FA04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1D2AF9C7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D0716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Certifications and </w:t>
            </w: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lastRenderedPageBreak/>
              <w:t xml:space="preserve">recognized standard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5BEC5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If other certifications </w:t>
            </w: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are listed, what are they?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45500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Use this space to record the name of the </w:t>
            </w: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certification, the issuing body and whether evidence has been provided.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D94C7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lastRenderedPageBreak/>
              <w:t xml:space="preserve">Free text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15D7A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BDA39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—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FB2CC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— </w:t>
            </w:r>
          </w:p>
        </w:tc>
      </w:tr>
      <w:tr w:rsidR="00770245" w14:paraId="66B21643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D0D94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Sustainability Practices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EA8C7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Does the venue have a sustainability program for meetings and events?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DB51B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Look for a venue-specific meetings and events sustainability program, policy or approach that covers how events are planned and delivered.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9AC59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57626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262E6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8FC41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7172F3F5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D0193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Energy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23A32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Is the venue powered by renewable or lower-impact energy?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F692D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Ask whether the venue uses renewable electricity, green energy tariffs or other lower-impact energy sources, and whether this can be evidenced.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2DB76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9F7DE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6A364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6FF74" w14:textId="77777777" w:rsidR="00770245" w:rsidRDefault="00000000">
            <w:pPr>
              <w:spacing w:before="120" w:after="120" w:line="336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096F8CC1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5F0B8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Food and Waste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0A048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Does the venue have a food waste management program?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1B109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Look for processes that reduce, manage or repurpose food waste, such as forecasting, donation, composting or measurement.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1A008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50CC0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70447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C1287" w14:textId="77777777" w:rsidR="00770245" w:rsidRDefault="00000000">
            <w:pPr>
              <w:spacing w:before="120" w:after="120" w:line="336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1E0D30FD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77513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Water </w:t>
            </w:r>
          </w:p>
        </w:tc>
        <w:tc>
          <w:tcPr>
            <w:tcW w:w="1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30CC7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Does the venue have a water management program?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E14F2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Look for policies, systems or initiatives designed to reduce water use or manage water more efficiently.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65BE8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Yes / No / Partial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0C4E0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D86F1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E7C8E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770245" w14:paraId="23B80ABE" w14:textId="77777777" w:rsidTr="00E07AED">
        <w:tblPrEx>
          <w:tblCellMar>
            <w:top w:w="0" w:type="dxa"/>
            <w:bottom w:w="0" w:type="dxa"/>
          </w:tblCellMar>
        </w:tblPrEx>
        <w:tc>
          <w:tcPr>
            <w:tcW w:w="16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D0A29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lastRenderedPageBreak/>
              <w:t xml:space="preserve"> </w:t>
            </w:r>
          </w:p>
        </w:tc>
        <w:tc>
          <w:tcPr>
            <w:tcW w:w="1745" w:type="dxa"/>
            <w:shd w:val="clear" w:color="auto" w:fill="EEFFE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BC633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  <w:sz w:val="22"/>
                <w:szCs w:val="22"/>
              </w:rPr>
              <w:t xml:space="preserve">Total Score </w:t>
            </w:r>
          </w:p>
        </w:tc>
        <w:tc>
          <w:tcPr>
            <w:tcW w:w="1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F5D61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Add the scores above to give each venue a total out of 230. 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E3DB0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14E8C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F20E2" w14:textId="77777777" w:rsidR="00770245" w:rsidRDefault="00000000" w:rsidP="00457828">
            <w:pPr>
              <w:spacing w:before="120" w:after="120" w:line="240" w:lineRule="auto"/>
              <w:jc w:val="center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230 </w:t>
            </w:r>
          </w:p>
        </w:tc>
        <w:tc>
          <w:tcPr>
            <w:tcW w:w="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D57A3" w14:textId="77777777" w:rsidR="00770245" w:rsidRDefault="00000000" w:rsidP="00457828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6680DE88" w14:textId="77777777" w:rsidR="0077024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17A697"/>
          <w:sz w:val="32"/>
          <w:szCs w:val="32"/>
        </w:rPr>
        <w:t xml:space="preserve"> </w:t>
      </w:r>
    </w:p>
    <w:tbl>
      <w:tblPr>
        <w:tblW w:w="9532" w:type="dxa"/>
        <w:tblInd w:w="-195" w:type="dxa"/>
        <w:tblBorders>
          <w:top w:val="single" w:sz="18" w:space="0" w:color="439544"/>
          <w:left w:val="single" w:sz="18" w:space="0" w:color="439544"/>
          <w:bottom w:val="single" w:sz="18" w:space="0" w:color="439544"/>
          <w:right w:val="single" w:sz="18" w:space="0" w:color="439544"/>
          <w:insideH w:val="single" w:sz="18" w:space="0" w:color="439544"/>
          <w:insideV w:val="single" w:sz="18" w:space="0" w:color="43954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1"/>
        <w:gridCol w:w="8231"/>
      </w:tblGrid>
      <w:tr w:rsidR="00770245" w14:paraId="05542402" w14:textId="77777777" w:rsidTr="00E07AED">
        <w:tblPrEx>
          <w:tblCellMar>
            <w:top w:w="0" w:type="dxa"/>
            <w:bottom w:w="0" w:type="dxa"/>
          </w:tblCellMar>
        </w:tblPrEx>
        <w:trPr>
          <w:trHeight w:val="1782"/>
        </w:trPr>
        <w:tc>
          <w:tcPr>
            <w:tcW w:w="13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13CB" w14:textId="77777777" w:rsidR="00457828" w:rsidRDefault="00457828">
            <w:pPr>
              <w:spacing w:before="120" w:after="120"/>
              <w:jc w:val="center"/>
            </w:pPr>
          </w:p>
          <w:p w14:paraId="6F8874B5" w14:textId="77777777" w:rsidR="00457828" w:rsidRDefault="00457828">
            <w:pPr>
              <w:spacing w:before="120" w:after="120"/>
              <w:jc w:val="center"/>
            </w:pPr>
          </w:p>
          <w:p w14:paraId="45BEE6DD" w14:textId="77777777" w:rsidR="00457828" w:rsidRDefault="00457828">
            <w:pPr>
              <w:spacing w:before="120" w:after="120"/>
              <w:jc w:val="center"/>
            </w:pPr>
          </w:p>
          <w:p w14:paraId="78E5FA7E" w14:textId="60F22D40" w:rsidR="00770245" w:rsidRDefault="00000000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45AE36DA" wp14:editId="477B1D7D">
                  <wp:extent cx="466387" cy="613667"/>
                  <wp:effectExtent l="0" t="0" r="0" b="0"/>
                  <wp:docPr id="1" name="Drawing 1" descr="e490901e-035d-4b81-b15f-ab5f5a7e0a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490901e-035d-4b81-b15f-ab5f5a7e0a01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87" cy="613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7B3FA" w14:textId="77777777" w:rsidR="00770245" w:rsidRDefault="00000000">
            <w:pPr>
              <w:spacing w:before="120" w:after="120" w:line="336" w:lineRule="auto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2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4F91" w14:textId="31A1A513" w:rsidR="00770245" w:rsidRPr="00E07AED" w:rsidRDefault="00000000" w:rsidP="00457828">
            <w:pPr>
              <w:spacing w:before="120" w:after="120"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 Bold" w:eastAsia="Aptos Bold" w:hAnsi="Aptos Bold" w:cs="Aptos Bold"/>
                <w:b/>
                <w:bCs/>
                <w:color w:val="439544"/>
                <w:sz w:val="28"/>
                <w:szCs w:val="28"/>
              </w:rPr>
              <w:t> </w:t>
            </w:r>
            <w:r>
              <w:rPr>
                <w:rFonts w:ascii="Aptos Bold" w:eastAsia="Aptos Bold" w:hAnsi="Aptos Bold" w:cs="Aptos Bold"/>
                <w:b/>
                <w:bCs/>
                <w:color w:val="439544"/>
                <w:sz w:val="28"/>
                <w:szCs w:val="28"/>
              </w:rPr>
              <w:br/>
            </w:r>
            <w:r w:rsidRPr="00E07AED">
              <w:rPr>
                <w:rFonts w:ascii="Aptos" w:eastAsia="Aptos Bold" w:hAnsi="Aptos" w:cs="Aptos Bold"/>
                <w:b/>
                <w:bCs/>
                <w:color w:val="439544"/>
                <w:szCs w:val="26"/>
              </w:rPr>
              <w:t>Want to go more in depth?</w:t>
            </w:r>
          </w:p>
          <w:p w14:paraId="29037960" w14:textId="0F963DBA" w:rsidR="00770245" w:rsidRPr="00457828" w:rsidRDefault="00000000" w:rsidP="00457828">
            <w:pPr>
              <w:spacing w:before="120" w:after="120" w:line="240" w:lineRule="auto"/>
              <w:jc w:val="center"/>
              <w:rPr>
                <w:rFonts w:ascii="Aptos" w:eastAsia="Aptos" w:hAnsi="Aptos" w:cs="Aptos"/>
                <w:color w:val="439544"/>
                <w:sz w:val="28"/>
                <w:szCs w:val="28"/>
              </w:rPr>
            </w:pPr>
            <w:r w:rsidRPr="00E07AED">
              <w:rPr>
                <w:rFonts w:ascii="Aptos" w:eastAsia="Aptos" w:hAnsi="Aptos" w:cs="Aptos"/>
                <w:color w:val="439544"/>
              </w:rPr>
              <w:t xml:space="preserve">A list of questions can help you start the conversation, </w:t>
            </w:r>
            <w:r w:rsidR="00457828" w:rsidRPr="00E07AED">
              <w:rPr>
                <w:rFonts w:ascii="Aptos" w:eastAsia="Aptos" w:hAnsi="Aptos" w:cs="Aptos"/>
                <w:color w:val="439544"/>
              </w:rPr>
              <w:br/>
            </w:r>
            <w:r w:rsidRPr="00E07AED">
              <w:rPr>
                <w:rFonts w:ascii="Aptos" w:eastAsia="Aptos" w:hAnsi="Aptos" w:cs="Aptos"/>
                <w:color w:val="439544"/>
              </w:rPr>
              <w:t xml:space="preserve">but the real value comes from understanding which </w:t>
            </w:r>
            <w:r w:rsidR="00457828" w:rsidRPr="00E07AED">
              <w:rPr>
                <w:rFonts w:ascii="Aptos" w:eastAsia="Aptos" w:hAnsi="Aptos" w:cs="Aptos"/>
                <w:color w:val="439544"/>
              </w:rPr>
              <w:br/>
            </w:r>
            <w:r w:rsidRPr="00E07AED">
              <w:rPr>
                <w:rFonts w:ascii="Aptos" w:eastAsia="Aptos" w:hAnsi="Aptos" w:cs="Aptos"/>
                <w:color w:val="439544"/>
              </w:rPr>
              <w:t>actions will make the</w:t>
            </w:r>
            <w:r w:rsidR="00457828" w:rsidRPr="00E07AED">
              <w:rPr>
                <w:rFonts w:ascii="Aptos" w:eastAsia="Aptos" w:hAnsi="Aptos" w:cs="Aptos"/>
                <w:color w:val="439544"/>
              </w:rPr>
              <w:t xml:space="preserve"> </w:t>
            </w:r>
            <w:r w:rsidRPr="00E07AED">
              <w:rPr>
                <w:rFonts w:ascii="Aptos" w:eastAsia="Aptos" w:hAnsi="Aptos" w:cs="Aptos"/>
                <w:color w:val="439544"/>
              </w:rPr>
              <w:t>biggest difference.</w:t>
            </w:r>
            <w:r w:rsidR="00457828" w:rsidRPr="00E07AED">
              <w:rPr>
                <w:rFonts w:ascii="Aptos" w:eastAsia="Aptos" w:hAnsi="Aptos" w:cs="Aptos"/>
                <w:color w:val="439544"/>
              </w:rPr>
              <w:br/>
            </w:r>
            <w:r w:rsidR="00457828" w:rsidRPr="00E07AED">
              <w:rPr>
                <w:rFonts w:ascii="Aptos" w:eastAsia="Aptos" w:hAnsi="Aptos" w:cs="Aptos"/>
                <w:color w:val="439544"/>
              </w:rPr>
              <w:br/>
            </w:r>
            <w:r w:rsidRPr="00E07AED">
              <w:rPr>
                <w:rFonts w:ascii="Aptos" w:eastAsia="Aptos" w:hAnsi="Aptos" w:cs="Aptos"/>
                <w:color w:val="439544"/>
              </w:rPr>
              <w:t xml:space="preserve">BCD Meetings &amp; Events uses structured sustainability </w:t>
            </w:r>
            <w:r w:rsidR="00457828" w:rsidRPr="00E07AED">
              <w:rPr>
                <w:rFonts w:ascii="Aptos" w:eastAsia="Aptos" w:hAnsi="Aptos" w:cs="Aptos"/>
                <w:color w:val="439544"/>
              </w:rPr>
              <w:br/>
            </w:r>
            <w:r w:rsidRPr="00E07AED">
              <w:rPr>
                <w:rFonts w:ascii="Aptos" w:eastAsia="Aptos" w:hAnsi="Aptos" w:cs="Aptos"/>
                <w:color w:val="439544"/>
              </w:rPr>
              <w:t xml:space="preserve">scoring to help clients assess venue options, compare </w:t>
            </w:r>
            <w:r w:rsidR="00457828" w:rsidRPr="00E07AED">
              <w:rPr>
                <w:rFonts w:ascii="Aptos" w:eastAsia="Aptos" w:hAnsi="Aptos" w:cs="Aptos"/>
                <w:color w:val="439544"/>
              </w:rPr>
              <w:br/>
            </w:r>
            <w:r w:rsidRPr="00E07AED">
              <w:rPr>
                <w:rFonts w:ascii="Aptos" w:eastAsia="Aptos" w:hAnsi="Aptos" w:cs="Aptos"/>
                <w:color w:val="439544"/>
              </w:rPr>
              <w:t xml:space="preserve">trade-offs and prioritize the areas with the greatest </w:t>
            </w:r>
            <w:r w:rsidR="00457828" w:rsidRPr="00E07AED">
              <w:rPr>
                <w:rFonts w:ascii="Aptos" w:eastAsia="Aptos" w:hAnsi="Aptos" w:cs="Aptos"/>
                <w:color w:val="439544"/>
              </w:rPr>
              <w:br/>
            </w:r>
            <w:r w:rsidRPr="00E07AED">
              <w:rPr>
                <w:rFonts w:ascii="Aptos" w:eastAsia="Aptos" w:hAnsi="Aptos" w:cs="Aptos"/>
                <w:color w:val="439544"/>
              </w:rPr>
              <w:t>opportunity for improvement.</w:t>
            </w:r>
            <w:r w:rsidRPr="00E07AED">
              <w:rPr>
                <w:rFonts w:ascii="MS Gothic" w:eastAsia="MS Gothic" w:hAnsi="MS Gothic" w:cs="MS Gothic" w:hint="eastAsia"/>
                <w:color w:val="439544"/>
              </w:rPr>
              <w:t> </w:t>
            </w:r>
            <w:r w:rsidRPr="00E07AED">
              <w:rPr>
                <w:rFonts w:ascii="Aptos" w:eastAsia="Aptos" w:hAnsi="Aptos" w:cs="Aptos"/>
                <w:color w:val="439544"/>
              </w:rPr>
              <w:br/>
            </w:r>
          </w:p>
        </w:tc>
      </w:tr>
    </w:tbl>
    <w:p w14:paraId="07F602D3" w14:textId="77777777" w:rsidR="0077024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17A697"/>
          <w:sz w:val="32"/>
          <w:szCs w:val="32"/>
        </w:rPr>
        <w:t xml:space="preserve"> </w:t>
      </w:r>
    </w:p>
    <w:p w14:paraId="03D6FE92" w14:textId="77777777" w:rsidR="00770245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59272B83" wp14:editId="4EBD1808">
            <wp:extent cx="5943600" cy="1436914"/>
            <wp:effectExtent l="0" t="0" r="0" b="0"/>
            <wp:docPr id="2" name="Drawing 2" descr="1860933c0-3b3f-4c1a-b41d-dc911cefc8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60933c0-3b3f-4c1a-b41d-dc911cefc82f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0D711" w14:textId="77777777" w:rsidR="00770245" w:rsidRDefault="00000000">
      <w:pPr>
        <w:spacing w:before="120" w:after="120" w:line="336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sectPr w:rsidR="00770245">
      <w:pgSz w:w="12240" w:h="1581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8A5E586-A1AE-1F49-B269-1FE40C7B3E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7438AC7-0567-3147-AEFE-8D0B9D28D1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F8FAC63-2DA7-8B45-9DDB-15B15AB0DDF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86E03AAA-85C3-934F-BD32-3E6BFC0F96F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88E2246E-B8A5-664A-92E6-3567934DD7C5}"/>
    <w:embedBold r:id="rId6" w:fontKey="{1DA8C7AF-53EF-0A40-A100-1608A6B6AB50}"/>
  </w:font>
  <w:font w:name="Aptos Bold">
    <w:altName w:val="Aptos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9BA010A0-6AFE-3A47-84D7-6719587D472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94251FD8-4648-D440-93B8-E5CC3840BC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E3FB1"/>
    <w:multiLevelType w:val="hybridMultilevel"/>
    <w:tmpl w:val="749ABD74"/>
    <w:lvl w:ilvl="0" w:tplc="8C702034">
      <w:start w:val="1"/>
      <w:numFmt w:val="decimal"/>
      <w:lvlText w:val="%1."/>
      <w:lvlJc w:val="left"/>
      <w:pPr>
        <w:ind w:left="400" w:hanging="360"/>
      </w:pPr>
    </w:lvl>
    <w:lvl w:ilvl="1" w:tplc="EB826DC6">
      <w:start w:val="1"/>
      <w:numFmt w:val="lowerLetter"/>
      <w:lvlText w:val="%2."/>
      <w:lvlJc w:val="left"/>
      <w:pPr>
        <w:ind w:left="800" w:hanging="360"/>
      </w:pPr>
    </w:lvl>
    <w:lvl w:ilvl="2" w:tplc="E202F652">
      <w:start w:val="1"/>
      <w:numFmt w:val="lowerRoman"/>
      <w:lvlText w:val="%3."/>
      <w:lvlJc w:val="right"/>
      <w:pPr>
        <w:ind w:left="1200" w:hanging="180"/>
      </w:pPr>
    </w:lvl>
    <w:lvl w:ilvl="3" w:tplc="3E327742">
      <w:start w:val="1"/>
      <w:numFmt w:val="decimal"/>
      <w:lvlText w:val="%4."/>
      <w:lvlJc w:val="left"/>
      <w:pPr>
        <w:ind w:left="1600" w:hanging="360"/>
      </w:pPr>
    </w:lvl>
    <w:lvl w:ilvl="4" w:tplc="86B2D5E6">
      <w:start w:val="1"/>
      <w:numFmt w:val="lowerLetter"/>
      <w:lvlText w:val="%5."/>
      <w:lvlJc w:val="left"/>
      <w:pPr>
        <w:ind w:left="2000" w:hanging="360"/>
      </w:pPr>
    </w:lvl>
    <w:lvl w:ilvl="5" w:tplc="65D41154">
      <w:start w:val="1"/>
      <w:numFmt w:val="lowerRoman"/>
      <w:lvlText w:val="%6."/>
      <w:lvlJc w:val="right"/>
      <w:pPr>
        <w:ind w:left="2400" w:hanging="180"/>
      </w:pPr>
    </w:lvl>
    <w:lvl w:ilvl="6" w:tplc="110A0E34">
      <w:start w:val="1"/>
      <w:numFmt w:val="decimal"/>
      <w:lvlText w:val="%7."/>
      <w:lvlJc w:val="left"/>
      <w:pPr>
        <w:ind w:left="2800" w:hanging="360"/>
      </w:pPr>
    </w:lvl>
    <w:lvl w:ilvl="7" w:tplc="3B8261CC">
      <w:start w:val="1"/>
      <w:numFmt w:val="lowerLetter"/>
      <w:lvlText w:val="%8."/>
      <w:lvlJc w:val="left"/>
      <w:pPr>
        <w:ind w:left="3200" w:hanging="360"/>
      </w:pPr>
    </w:lvl>
    <w:lvl w:ilvl="8" w:tplc="4F1650BA">
      <w:numFmt w:val="decimal"/>
      <w:lvlText w:val=""/>
      <w:lvlJc w:val="left"/>
    </w:lvl>
  </w:abstractNum>
  <w:abstractNum w:abstractNumId="1" w15:restartNumberingAfterBreak="0">
    <w:nsid w:val="1EDE50C5"/>
    <w:multiLevelType w:val="hybridMultilevel"/>
    <w:tmpl w:val="C5AE445E"/>
    <w:lvl w:ilvl="0" w:tplc="5EA0BE0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5F1064F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B10A8D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24A3D2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1FC467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4C72461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BDCD03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AF0B92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02CF75C">
      <w:numFmt w:val="decimal"/>
      <w:lvlText w:val=""/>
      <w:lvlJc w:val="left"/>
    </w:lvl>
  </w:abstractNum>
  <w:num w:numId="1" w16cid:durableId="518155600">
    <w:abstractNumId w:val="0"/>
  </w:num>
  <w:num w:numId="2" w16cid:durableId="13764761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45"/>
    <w:rsid w:val="00457828"/>
    <w:rsid w:val="00770245"/>
    <w:rsid w:val="00B25BA3"/>
    <w:rsid w:val="00E0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1F80D"/>
  <w15:docId w15:val="{5B994930-3001-214C-90E6-E191FCA8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Magnet | Sustainability | Venue Selection Scorecard</dc:title>
  <dc:creator>Apache POI</dc:creator>
  <cp:lastModifiedBy>Gina Guarino (US)</cp:lastModifiedBy>
  <cp:revision>3</cp:revision>
  <dcterms:created xsi:type="dcterms:W3CDTF">2026-08-18T15:04:00Z</dcterms:created>
  <dcterms:modified xsi:type="dcterms:W3CDTF">2026-08-18T15:18:00Z</dcterms:modified>
</cp:coreProperties>
</file>